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7C5A7" w14:textId="77777777" w:rsidR="00DD325B" w:rsidRDefault="00DD325B" w:rsidP="00DD325B"/>
    <w:p w14:paraId="286BC9CF" w14:textId="7A2CF927" w:rsidR="00DD325B" w:rsidRDefault="00DD325B" w:rsidP="00DD325B">
      <w:pPr>
        <w:rPr>
          <w:rFonts w:ascii="Arial" w:hAnsi="Arial" w:cs="Arial"/>
          <w:sz w:val="24"/>
          <w:szCs w:val="24"/>
        </w:rPr>
      </w:pPr>
    </w:p>
    <w:p w14:paraId="2A5F364B" w14:textId="50AF5DD2" w:rsidR="00F76A21" w:rsidRPr="002C0748" w:rsidRDefault="00B06328" w:rsidP="002C0748">
      <w:pPr>
        <w:jc w:val="center"/>
        <w:rPr>
          <w:rFonts w:ascii="Arial" w:hAnsi="Arial" w:cs="Arial"/>
          <w:b/>
          <w:bCs/>
          <w:sz w:val="24"/>
          <w:szCs w:val="24"/>
        </w:rPr>
      </w:pPr>
      <w:r w:rsidRPr="002C0748">
        <w:rPr>
          <w:rFonts w:ascii="Arial" w:hAnsi="Arial" w:cs="Arial"/>
          <w:b/>
          <w:bCs/>
          <w:sz w:val="24"/>
          <w:szCs w:val="24"/>
        </w:rPr>
        <w:t>Analisi trasversale de</w:t>
      </w:r>
      <w:r w:rsidR="002C0748" w:rsidRPr="002C0748">
        <w:rPr>
          <w:rFonts w:ascii="Arial" w:hAnsi="Arial" w:cs="Arial"/>
          <w:b/>
          <w:bCs/>
          <w:sz w:val="24"/>
          <w:szCs w:val="24"/>
        </w:rPr>
        <w:t>gli elementi comuni nella normativa Comunitaria, Nazionale e Locale</w:t>
      </w:r>
    </w:p>
    <w:p w14:paraId="229F1AC6" w14:textId="77777777" w:rsidR="002C0748" w:rsidRPr="002C0748" w:rsidRDefault="002C0748" w:rsidP="00DD325B">
      <w:pPr>
        <w:rPr>
          <w:rFonts w:ascii="Arial" w:hAnsi="Arial" w:cs="Arial"/>
          <w:sz w:val="24"/>
          <w:szCs w:val="24"/>
        </w:rPr>
      </w:pPr>
    </w:p>
    <w:p w14:paraId="44A151AC" w14:textId="5EF3E902" w:rsidR="00D510E5" w:rsidRPr="000129C1" w:rsidRDefault="00F76A21" w:rsidP="00AF6748">
      <w:pPr>
        <w:jc w:val="center"/>
        <w:rPr>
          <w:rFonts w:ascii="Arial" w:hAnsi="Arial" w:cs="Arial"/>
          <w:b/>
          <w:bCs/>
          <w:sz w:val="24"/>
          <w:szCs w:val="24"/>
          <w:lang w:val="en-GB"/>
        </w:rPr>
      </w:pPr>
      <w:r>
        <w:rPr>
          <w:rFonts w:ascii="Arial" w:hAnsi="Arial" w:cs="Arial"/>
          <w:b/>
          <w:bCs/>
          <w:sz w:val="24"/>
          <w:szCs w:val="24"/>
          <w:lang w:val="en-GB"/>
        </w:rPr>
        <w:t>(</w:t>
      </w:r>
      <w:r w:rsidR="00175935">
        <w:rPr>
          <w:rFonts w:ascii="Arial" w:hAnsi="Arial" w:cs="Arial"/>
          <w:b/>
          <w:bCs/>
          <w:sz w:val="24"/>
          <w:szCs w:val="24"/>
          <w:lang w:val="en-GB"/>
        </w:rPr>
        <w:t>Cross</w:t>
      </w:r>
      <w:r w:rsidR="000454AC">
        <w:rPr>
          <w:rFonts w:ascii="Arial" w:hAnsi="Arial" w:cs="Arial"/>
          <w:b/>
          <w:bCs/>
          <w:sz w:val="24"/>
          <w:szCs w:val="24"/>
          <w:lang w:val="en-GB"/>
        </w:rPr>
        <w:t>-section report of the common elements in the EU</w:t>
      </w:r>
      <w:r w:rsidR="00995237">
        <w:rPr>
          <w:rFonts w:ascii="Arial" w:hAnsi="Arial" w:cs="Arial"/>
          <w:b/>
          <w:bCs/>
          <w:sz w:val="24"/>
          <w:szCs w:val="24"/>
          <w:lang w:val="en-GB"/>
        </w:rPr>
        <w:t>, National and local regulation</w:t>
      </w:r>
      <w:r>
        <w:rPr>
          <w:rFonts w:ascii="Arial" w:hAnsi="Arial" w:cs="Arial"/>
          <w:b/>
          <w:bCs/>
          <w:sz w:val="24"/>
          <w:szCs w:val="24"/>
          <w:lang w:val="en-GB"/>
        </w:rPr>
        <w:t>)</w:t>
      </w:r>
    </w:p>
    <w:p w14:paraId="3715C7CC" w14:textId="77777777" w:rsidR="004F1D0E" w:rsidRDefault="004F1D0E" w:rsidP="005D6F24">
      <w:pPr>
        <w:jc w:val="center"/>
        <w:rPr>
          <w:rFonts w:ascii="Arial" w:hAnsi="Arial" w:cs="Arial"/>
          <w:sz w:val="24"/>
          <w:szCs w:val="24"/>
          <w:lang w:val="en-GB"/>
        </w:rPr>
      </w:pPr>
    </w:p>
    <w:p w14:paraId="20B85F69" w14:textId="7A234B89" w:rsidR="00D510E5" w:rsidRPr="006700BE" w:rsidRDefault="00AF6748" w:rsidP="005D6F24">
      <w:pPr>
        <w:jc w:val="center"/>
        <w:rPr>
          <w:rFonts w:ascii="Arial" w:hAnsi="Arial" w:cs="Arial"/>
          <w:sz w:val="24"/>
          <w:szCs w:val="24"/>
          <w:lang w:val="en-GB"/>
        </w:rPr>
      </w:pPr>
      <w:r w:rsidRPr="006700BE">
        <w:rPr>
          <w:rFonts w:ascii="Arial" w:hAnsi="Arial" w:cs="Arial"/>
          <w:sz w:val="24"/>
          <w:szCs w:val="24"/>
          <w:lang w:val="en-GB"/>
        </w:rPr>
        <w:t>A</w:t>
      </w:r>
      <w:r w:rsidR="000129C1" w:rsidRPr="006700BE">
        <w:rPr>
          <w:rFonts w:ascii="Arial" w:hAnsi="Arial" w:cs="Arial"/>
          <w:sz w:val="24"/>
          <w:szCs w:val="24"/>
          <w:lang w:val="en-GB"/>
        </w:rPr>
        <w:t>ction</w:t>
      </w:r>
      <w:r w:rsidRPr="006700BE">
        <w:rPr>
          <w:rFonts w:ascii="Arial" w:hAnsi="Arial" w:cs="Arial"/>
          <w:sz w:val="24"/>
          <w:szCs w:val="24"/>
          <w:lang w:val="en-GB"/>
        </w:rPr>
        <w:t xml:space="preserve"> A1</w:t>
      </w:r>
      <w:r w:rsidR="005D6F24" w:rsidRPr="006700BE">
        <w:rPr>
          <w:rFonts w:ascii="Arial" w:hAnsi="Arial" w:cs="Arial"/>
          <w:sz w:val="24"/>
          <w:szCs w:val="24"/>
          <w:lang w:val="en-GB"/>
        </w:rPr>
        <w:t>.</w:t>
      </w:r>
      <w:r w:rsidR="00F76A21">
        <w:rPr>
          <w:rFonts w:ascii="Arial" w:hAnsi="Arial" w:cs="Arial"/>
          <w:sz w:val="24"/>
          <w:szCs w:val="24"/>
          <w:lang w:val="en-GB"/>
        </w:rPr>
        <w:t>1</w:t>
      </w:r>
      <w:r w:rsidR="002C3403">
        <w:rPr>
          <w:rFonts w:ascii="Arial" w:hAnsi="Arial" w:cs="Arial"/>
          <w:sz w:val="24"/>
          <w:szCs w:val="24"/>
          <w:lang w:val="en-GB"/>
        </w:rPr>
        <w:t xml:space="preserve"> – Deliverable A.1.</w:t>
      </w:r>
      <w:r w:rsidR="00584B44">
        <w:rPr>
          <w:rFonts w:ascii="Arial" w:hAnsi="Arial" w:cs="Arial"/>
          <w:sz w:val="24"/>
          <w:szCs w:val="24"/>
          <w:lang w:val="en-GB"/>
        </w:rPr>
        <w:t>5</w:t>
      </w:r>
    </w:p>
    <w:p w14:paraId="5E1A80F3" w14:textId="43983C28" w:rsidR="00D510E5" w:rsidRPr="00C52378" w:rsidRDefault="00D510E5" w:rsidP="00DD325B">
      <w:pPr>
        <w:rPr>
          <w:rFonts w:ascii="Arial" w:hAnsi="Arial" w:cs="Arial"/>
          <w:sz w:val="24"/>
          <w:szCs w:val="24"/>
        </w:rPr>
      </w:pPr>
    </w:p>
    <w:p w14:paraId="1C7FE901" w14:textId="62540C12" w:rsidR="008E1946" w:rsidRPr="00C52378" w:rsidRDefault="008E1946" w:rsidP="002A4817">
      <w:pPr>
        <w:pStyle w:val="Corpotesto"/>
        <w:spacing w:before="104" w:line="237" w:lineRule="auto"/>
        <w:ind w:right="46"/>
        <w:jc w:val="both"/>
        <w:rPr>
          <w:rFonts w:ascii="Arial" w:hAnsi="Arial" w:cs="Arial"/>
          <w:sz w:val="24"/>
          <w:szCs w:val="24"/>
        </w:rPr>
      </w:pPr>
    </w:p>
    <w:p w14:paraId="4D5FE9A7" w14:textId="739380B5" w:rsidR="00942B32" w:rsidRPr="00C52378" w:rsidRDefault="00942B32" w:rsidP="002A4817">
      <w:pPr>
        <w:pStyle w:val="Corpotesto"/>
        <w:spacing w:before="104" w:line="237" w:lineRule="auto"/>
        <w:ind w:right="46"/>
        <w:jc w:val="both"/>
        <w:rPr>
          <w:rFonts w:ascii="Arial" w:hAnsi="Arial" w:cs="Arial"/>
          <w:sz w:val="24"/>
          <w:szCs w:val="24"/>
        </w:rPr>
      </w:pPr>
    </w:p>
    <w:sdt>
      <w:sdtPr>
        <w:rPr>
          <w:rFonts w:ascii="Verdana" w:eastAsia="Verdana" w:hAnsi="Verdana" w:cs="Verdana"/>
          <w:color w:val="auto"/>
          <w:sz w:val="22"/>
          <w:szCs w:val="22"/>
          <w:lang w:eastAsia="en-US"/>
        </w:rPr>
        <w:id w:val="830720433"/>
        <w:docPartObj>
          <w:docPartGallery w:val="Table of Contents"/>
          <w:docPartUnique/>
        </w:docPartObj>
      </w:sdtPr>
      <w:sdtEndPr>
        <w:rPr>
          <w:b/>
          <w:bCs/>
        </w:rPr>
      </w:sdtEndPr>
      <w:sdtContent>
        <w:p w14:paraId="1DA7BCB6" w14:textId="2507011A" w:rsidR="00942B32" w:rsidRPr="004F1D0E" w:rsidRDefault="00942B32">
          <w:pPr>
            <w:pStyle w:val="Titolosommario"/>
            <w:rPr>
              <w:lang w:val="en-GB"/>
            </w:rPr>
          </w:pPr>
          <w:proofErr w:type="spellStart"/>
          <w:r w:rsidRPr="004F1D0E">
            <w:rPr>
              <w:lang w:val="en-GB"/>
            </w:rPr>
            <w:t>Sommario</w:t>
          </w:r>
          <w:proofErr w:type="spellEnd"/>
        </w:p>
        <w:p w14:paraId="65B1975D" w14:textId="7B35AFD9" w:rsidR="00306D01" w:rsidRDefault="00942B32">
          <w:pPr>
            <w:pStyle w:val="Sommario1"/>
            <w:tabs>
              <w:tab w:val="left" w:pos="440"/>
              <w:tab w:val="right" w:leader="dot" w:pos="9622"/>
            </w:tabs>
            <w:rPr>
              <w:rFonts w:asciiTheme="minorHAnsi" w:eastAsiaTheme="minorEastAsia" w:hAnsiTheme="minorHAnsi" w:cstheme="minorBidi"/>
              <w:noProof/>
              <w:lang w:eastAsia="it-IT"/>
            </w:rPr>
          </w:pPr>
          <w:r>
            <w:fldChar w:fldCharType="begin"/>
          </w:r>
          <w:r>
            <w:instrText xml:space="preserve"> TOC \o "1-3" \h \z \u </w:instrText>
          </w:r>
          <w:r>
            <w:fldChar w:fldCharType="separate"/>
          </w:r>
          <w:hyperlink w:anchor="_Toc74265389" w:history="1">
            <w:r w:rsidR="00306D01" w:rsidRPr="00F02DE5">
              <w:rPr>
                <w:rStyle w:val="Collegamentoipertestuale"/>
                <w:noProof/>
              </w:rPr>
              <w:t>1</w:t>
            </w:r>
            <w:r w:rsidR="00306D01">
              <w:rPr>
                <w:rFonts w:asciiTheme="minorHAnsi" w:eastAsiaTheme="minorEastAsia" w:hAnsiTheme="minorHAnsi" w:cstheme="minorBidi"/>
                <w:noProof/>
                <w:lang w:eastAsia="it-IT"/>
              </w:rPr>
              <w:tab/>
            </w:r>
            <w:r w:rsidR="00306D01" w:rsidRPr="00F02DE5">
              <w:rPr>
                <w:rStyle w:val="Collegamentoipertestuale"/>
                <w:noProof/>
              </w:rPr>
              <w:t>Gli obbiettivi del Progetto e l’impianto normativo sottostante</w:t>
            </w:r>
            <w:r w:rsidR="00306D01">
              <w:rPr>
                <w:noProof/>
                <w:webHidden/>
              </w:rPr>
              <w:tab/>
            </w:r>
            <w:r w:rsidR="00306D01">
              <w:rPr>
                <w:noProof/>
                <w:webHidden/>
              </w:rPr>
              <w:fldChar w:fldCharType="begin"/>
            </w:r>
            <w:r w:rsidR="00306D01">
              <w:rPr>
                <w:noProof/>
                <w:webHidden/>
              </w:rPr>
              <w:instrText xml:space="preserve"> PAGEREF _Toc74265389 \h </w:instrText>
            </w:r>
            <w:r w:rsidR="00306D01">
              <w:rPr>
                <w:noProof/>
                <w:webHidden/>
              </w:rPr>
            </w:r>
            <w:r w:rsidR="00306D01">
              <w:rPr>
                <w:noProof/>
                <w:webHidden/>
              </w:rPr>
              <w:fldChar w:fldCharType="separate"/>
            </w:r>
            <w:r w:rsidR="005D69CA">
              <w:rPr>
                <w:noProof/>
                <w:webHidden/>
              </w:rPr>
              <w:t>2</w:t>
            </w:r>
            <w:r w:rsidR="00306D01">
              <w:rPr>
                <w:noProof/>
                <w:webHidden/>
              </w:rPr>
              <w:fldChar w:fldCharType="end"/>
            </w:r>
          </w:hyperlink>
        </w:p>
        <w:p w14:paraId="6908C90A" w14:textId="66149C9D" w:rsidR="00306D01" w:rsidRDefault="0011547D">
          <w:pPr>
            <w:pStyle w:val="Sommario1"/>
            <w:tabs>
              <w:tab w:val="left" w:pos="440"/>
              <w:tab w:val="right" w:leader="dot" w:pos="9622"/>
            </w:tabs>
            <w:rPr>
              <w:rFonts w:asciiTheme="minorHAnsi" w:eastAsiaTheme="minorEastAsia" w:hAnsiTheme="minorHAnsi" w:cstheme="minorBidi"/>
              <w:noProof/>
              <w:lang w:eastAsia="it-IT"/>
            </w:rPr>
          </w:pPr>
          <w:hyperlink w:anchor="_Toc74265390" w:history="1">
            <w:r w:rsidR="00306D01" w:rsidRPr="00F02DE5">
              <w:rPr>
                <w:rStyle w:val="Collegamentoipertestuale"/>
                <w:noProof/>
              </w:rPr>
              <w:t>2</w:t>
            </w:r>
            <w:r w:rsidR="00306D01">
              <w:rPr>
                <w:rFonts w:asciiTheme="minorHAnsi" w:eastAsiaTheme="minorEastAsia" w:hAnsiTheme="minorHAnsi" w:cstheme="minorBidi"/>
                <w:noProof/>
                <w:lang w:eastAsia="it-IT"/>
              </w:rPr>
              <w:tab/>
            </w:r>
            <w:r w:rsidR="00306D01" w:rsidRPr="00F02DE5">
              <w:rPr>
                <w:rStyle w:val="Collegamentoipertestuale"/>
                <w:noProof/>
              </w:rPr>
              <w:t>Il mercato EU ETS</w:t>
            </w:r>
            <w:r w:rsidR="00306D01">
              <w:rPr>
                <w:noProof/>
                <w:webHidden/>
              </w:rPr>
              <w:tab/>
            </w:r>
            <w:r w:rsidR="00306D01">
              <w:rPr>
                <w:noProof/>
                <w:webHidden/>
              </w:rPr>
              <w:fldChar w:fldCharType="begin"/>
            </w:r>
            <w:r w:rsidR="00306D01">
              <w:rPr>
                <w:noProof/>
                <w:webHidden/>
              </w:rPr>
              <w:instrText xml:space="preserve"> PAGEREF _Toc74265390 \h </w:instrText>
            </w:r>
            <w:r w:rsidR="00306D01">
              <w:rPr>
                <w:noProof/>
                <w:webHidden/>
              </w:rPr>
            </w:r>
            <w:r w:rsidR="00306D01">
              <w:rPr>
                <w:noProof/>
                <w:webHidden/>
              </w:rPr>
              <w:fldChar w:fldCharType="separate"/>
            </w:r>
            <w:r w:rsidR="005D69CA">
              <w:rPr>
                <w:noProof/>
                <w:webHidden/>
              </w:rPr>
              <w:t>2</w:t>
            </w:r>
            <w:r w:rsidR="00306D01">
              <w:rPr>
                <w:noProof/>
                <w:webHidden/>
              </w:rPr>
              <w:fldChar w:fldCharType="end"/>
            </w:r>
          </w:hyperlink>
        </w:p>
        <w:p w14:paraId="111560F3" w14:textId="1F41DC13" w:rsidR="00306D01" w:rsidRDefault="0011547D">
          <w:pPr>
            <w:pStyle w:val="Sommario2"/>
            <w:tabs>
              <w:tab w:val="left" w:pos="880"/>
              <w:tab w:val="right" w:leader="dot" w:pos="9622"/>
            </w:tabs>
            <w:rPr>
              <w:rFonts w:asciiTheme="minorHAnsi" w:eastAsiaTheme="minorEastAsia" w:hAnsiTheme="minorHAnsi" w:cstheme="minorBidi"/>
              <w:noProof/>
              <w:lang w:eastAsia="it-IT"/>
            </w:rPr>
          </w:pPr>
          <w:hyperlink w:anchor="_Toc74265391" w:history="1">
            <w:r w:rsidR="00306D01" w:rsidRPr="00F02DE5">
              <w:rPr>
                <w:rStyle w:val="Collegamentoipertestuale"/>
                <w:noProof/>
              </w:rPr>
              <w:t>2.1</w:t>
            </w:r>
            <w:r w:rsidR="00306D01">
              <w:rPr>
                <w:rFonts w:asciiTheme="minorHAnsi" w:eastAsiaTheme="minorEastAsia" w:hAnsiTheme="minorHAnsi" w:cstheme="minorBidi"/>
                <w:noProof/>
                <w:lang w:eastAsia="it-IT"/>
              </w:rPr>
              <w:tab/>
            </w:r>
            <w:r w:rsidR="00306D01" w:rsidRPr="00F02DE5">
              <w:rPr>
                <w:rStyle w:val="Collegamentoipertestuale"/>
                <w:noProof/>
              </w:rPr>
              <w:t>Il Regolamento UE 525/2013 e l’inventario dei gas GHG</w:t>
            </w:r>
            <w:r w:rsidR="00306D01">
              <w:rPr>
                <w:noProof/>
                <w:webHidden/>
              </w:rPr>
              <w:tab/>
            </w:r>
            <w:r w:rsidR="00306D01">
              <w:rPr>
                <w:noProof/>
                <w:webHidden/>
              </w:rPr>
              <w:fldChar w:fldCharType="begin"/>
            </w:r>
            <w:r w:rsidR="00306D01">
              <w:rPr>
                <w:noProof/>
                <w:webHidden/>
              </w:rPr>
              <w:instrText xml:space="preserve"> PAGEREF _Toc74265391 \h </w:instrText>
            </w:r>
            <w:r w:rsidR="00306D01">
              <w:rPr>
                <w:noProof/>
                <w:webHidden/>
              </w:rPr>
            </w:r>
            <w:r w:rsidR="00306D01">
              <w:rPr>
                <w:noProof/>
                <w:webHidden/>
              </w:rPr>
              <w:fldChar w:fldCharType="separate"/>
            </w:r>
            <w:r w:rsidR="005D69CA">
              <w:rPr>
                <w:noProof/>
                <w:webHidden/>
              </w:rPr>
              <w:t>2</w:t>
            </w:r>
            <w:r w:rsidR="00306D01">
              <w:rPr>
                <w:noProof/>
                <w:webHidden/>
              </w:rPr>
              <w:fldChar w:fldCharType="end"/>
            </w:r>
          </w:hyperlink>
        </w:p>
        <w:p w14:paraId="7C34F55C" w14:textId="0FA4B0A4" w:rsidR="00306D01" w:rsidRDefault="0011547D">
          <w:pPr>
            <w:pStyle w:val="Sommario2"/>
            <w:tabs>
              <w:tab w:val="left" w:pos="880"/>
              <w:tab w:val="right" w:leader="dot" w:pos="9622"/>
            </w:tabs>
            <w:rPr>
              <w:rFonts w:asciiTheme="minorHAnsi" w:eastAsiaTheme="minorEastAsia" w:hAnsiTheme="minorHAnsi" w:cstheme="minorBidi"/>
              <w:noProof/>
              <w:lang w:eastAsia="it-IT"/>
            </w:rPr>
          </w:pPr>
          <w:hyperlink w:anchor="_Toc74265392" w:history="1">
            <w:r w:rsidR="00306D01" w:rsidRPr="00F02DE5">
              <w:rPr>
                <w:rStyle w:val="Collegamentoipertestuale"/>
                <w:noProof/>
              </w:rPr>
              <w:t>2.2</w:t>
            </w:r>
            <w:r w:rsidR="00306D01">
              <w:rPr>
                <w:rFonts w:asciiTheme="minorHAnsi" w:eastAsiaTheme="minorEastAsia" w:hAnsiTheme="minorHAnsi" w:cstheme="minorBidi"/>
                <w:noProof/>
                <w:lang w:eastAsia="it-IT"/>
              </w:rPr>
              <w:tab/>
            </w:r>
            <w:r w:rsidR="00306D01" w:rsidRPr="00F02DE5">
              <w:rPr>
                <w:rStyle w:val="Collegamentoipertestuale"/>
                <w:noProof/>
              </w:rPr>
              <w:t>La direttiva 2004/101/CE</w:t>
            </w:r>
            <w:r w:rsidR="00306D01">
              <w:rPr>
                <w:noProof/>
                <w:webHidden/>
              </w:rPr>
              <w:tab/>
            </w:r>
            <w:r w:rsidR="00306D01">
              <w:rPr>
                <w:noProof/>
                <w:webHidden/>
              </w:rPr>
              <w:fldChar w:fldCharType="begin"/>
            </w:r>
            <w:r w:rsidR="00306D01">
              <w:rPr>
                <w:noProof/>
                <w:webHidden/>
              </w:rPr>
              <w:instrText xml:space="preserve"> PAGEREF _Toc74265392 \h </w:instrText>
            </w:r>
            <w:r w:rsidR="00306D01">
              <w:rPr>
                <w:noProof/>
                <w:webHidden/>
              </w:rPr>
            </w:r>
            <w:r w:rsidR="00306D01">
              <w:rPr>
                <w:noProof/>
                <w:webHidden/>
              </w:rPr>
              <w:fldChar w:fldCharType="separate"/>
            </w:r>
            <w:r w:rsidR="005D69CA">
              <w:rPr>
                <w:noProof/>
                <w:webHidden/>
              </w:rPr>
              <w:t>2</w:t>
            </w:r>
            <w:r w:rsidR="00306D01">
              <w:rPr>
                <w:noProof/>
                <w:webHidden/>
              </w:rPr>
              <w:fldChar w:fldCharType="end"/>
            </w:r>
          </w:hyperlink>
        </w:p>
        <w:p w14:paraId="16B5B546" w14:textId="3161633B" w:rsidR="00306D01" w:rsidRDefault="0011547D">
          <w:pPr>
            <w:pStyle w:val="Sommario2"/>
            <w:tabs>
              <w:tab w:val="left" w:pos="880"/>
              <w:tab w:val="right" w:leader="dot" w:pos="9622"/>
            </w:tabs>
            <w:rPr>
              <w:rFonts w:asciiTheme="minorHAnsi" w:eastAsiaTheme="minorEastAsia" w:hAnsiTheme="minorHAnsi" w:cstheme="minorBidi"/>
              <w:noProof/>
              <w:lang w:eastAsia="it-IT"/>
            </w:rPr>
          </w:pPr>
          <w:hyperlink w:anchor="_Toc74265393" w:history="1">
            <w:r w:rsidR="00306D01" w:rsidRPr="00F02DE5">
              <w:rPr>
                <w:rStyle w:val="Collegamentoipertestuale"/>
                <w:noProof/>
              </w:rPr>
              <w:t>2.3</w:t>
            </w:r>
            <w:r w:rsidR="00306D01">
              <w:rPr>
                <w:rFonts w:asciiTheme="minorHAnsi" w:eastAsiaTheme="minorEastAsia" w:hAnsiTheme="minorHAnsi" w:cstheme="minorBidi"/>
                <w:noProof/>
                <w:lang w:eastAsia="it-IT"/>
              </w:rPr>
              <w:tab/>
            </w:r>
            <w:r w:rsidR="00306D01" w:rsidRPr="00F02DE5">
              <w:rPr>
                <w:rStyle w:val="Collegamentoipertestuale"/>
                <w:noProof/>
              </w:rPr>
              <w:t>Gli elementi della normativa del mercato EU ETS utili all’emissione dei crediti ecosistemici</w:t>
            </w:r>
            <w:r w:rsidR="00306D01">
              <w:rPr>
                <w:noProof/>
                <w:webHidden/>
              </w:rPr>
              <w:tab/>
            </w:r>
            <w:r w:rsidR="00306D01">
              <w:rPr>
                <w:noProof/>
                <w:webHidden/>
              </w:rPr>
              <w:fldChar w:fldCharType="begin"/>
            </w:r>
            <w:r w:rsidR="00306D01">
              <w:rPr>
                <w:noProof/>
                <w:webHidden/>
              </w:rPr>
              <w:instrText xml:space="preserve"> PAGEREF _Toc74265393 \h </w:instrText>
            </w:r>
            <w:r w:rsidR="00306D01">
              <w:rPr>
                <w:noProof/>
                <w:webHidden/>
              </w:rPr>
            </w:r>
            <w:r w:rsidR="00306D01">
              <w:rPr>
                <w:noProof/>
                <w:webHidden/>
              </w:rPr>
              <w:fldChar w:fldCharType="separate"/>
            </w:r>
            <w:r w:rsidR="005D69CA">
              <w:rPr>
                <w:noProof/>
                <w:webHidden/>
              </w:rPr>
              <w:t>2</w:t>
            </w:r>
            <w:r w:rsidR="00306D01">
              <w:rPr>
                <w:noProof/>
                <w:webHidden/>
              </w:rPr>
              <w:fldChar w:fldCharType="end"/>
            </w:r>
          </w:hyperlink>
        </w:p>
        <w:p w14:paraId="53F7F2CE" w14:textId="2ECFE503" w:rsidR="00306D01" w:rsidRDefault="0011547D">
          <w:pPr>
            <w:pStyle w:val="Sommario1"/>
            <w:tabs>
              <w:tab w:val="left" w:pos="440"/>
              <w:tab w:val="right" w:leader="dot" w:pos="9622"/>
            </w:tabs>
            <w:rPr>
              <w:rFonts w:asciiTheme="minorHAnsi" w:eastAsiaTheme="minorEastAsia" w:hAnsiTheme="minorHAnsi" w:cstheme="minorBidi"/>
              <w:noProof/>
              <w:lang w:eastAsia="it-IT"/>
            </w:rPr>
          </w:pPr>
          <w:hyperlink w:anchor="_Toc74265394" w:history="1">
            <w:r w:rsidR="00306D01" w:rsidRPr="00F02DE5">
              <w:rPr>
                <w:rStyle w:val="Collegamentoipertestuale"/>
                <w:noProof/>
              </w:rPr>
              <w:t>3</w:t>
            </w:r>
            <w:r w:rsidR="00306D01">
              <w:rPr>
                <w:rFonts w:asciiTheme="minorHAnsi" w:eastAsiaTheme="minorEastAsia" w:hAnsiTheme="minorHAnsi" w:cstheme="minorBidi"/>
                <w:noProof/>
                <w:lang w:eastAsia="it-IT"/>
              </w:rPr>
              <w:tab/>
            </w:r>
            <w:r w:rsidR="00306D01" w:rsidRPr="00F02DE5">
              <w:rPr>
                <w:rStyle w:val="Collegamentoipertestuale"/>
                <w:noProof/>
              </w:rPr>
              <w:t>La Strategia per il Clima dell’Unione Europea</w:t>
            </w:r>
            <w:r w:rsidR="00306D01">
              <w:rPr>
                <w:noProof/>
                <w:webHidden/>
              </w:rPr>
              <w:tab/>
            </w:r>
            <w:r w:rsidR="00306D01">
              <w:rPr>
                <w:noProof/>
                <w:webHidden/>
              </w:rPr>
              <w:fldChar w:fldCharType="begin"/>
            </w:r>
            <w:r w:rsidR="00306D01">
              <w:rPr>
                <w:noProof/>
                <w:webHidden/>
              </w:rPr>
              <w:instrText xml:space="preserve"> PAGEREF _Toc74265394 \h </w:instrText>
            </w:r>
            <w:r w:rsidR="00306D01">
              <w:rPr>
                <w:noProof/>
                <w:webHidden/>
              </w:rPr>
            </w:r>
            <w:r w:rsidR="00306D01">
              <w:rPr>
                <w:noProof/>
                <w:webHidden/>
              </w:rPr>
              <w:fldChar w:fldCharType="separate"/>
            </w:r>
            <w:r w:rsidR="005D69CA">
              <w:rPr>
                <w:noProof/>
                <w:webHidden/>
              </w:rPr>
              <w:t>2</w:t>
            </w:r>
            <w:r w:rsidR="00306D01">
              <w:rPr>
                <w:noProof/>
                <w:webHidden/>
              </w:rPr>
              <w:fldChar w:fldCharType="end"/>
            </w:r>
          </w:hyperlink>
        </w:p>
        <w:p w14:paraId="6A2AA166" w14:textId="014E0B60" w:rsidR="00306D01" w:rsidRDefault="0011547D">
          <w:pPr>
            <w:pStyle w:val="Sommario2"/>
            <w:tabs>
              <w:tab w:val="left" w:pos="880"/>
              <w:tab w:val="right" w:leader="dot" w:pos="9622"/>
            </w:tabs>
            <w:rPr>
              <w:rFonts w:asciiTheme="minorHAnsi" w:eastAsiaTheme="minorEastAsia" w:hAnsiTheme="minorHAnsi" w:cstheme="minorBidi"/>
              <w:noProof/>
              <w:lang w:eastAsia="it-IT"/>
            </w:rPr>
          </w:pPr>
          <w:hyperlink w:anchor="_Toc74265395" w:history="1">
            <w:r w:rsidR="00306D01" w:rsidRPr="00F02DE5">
              <w:rPr>
                <w:rStyle w:val="Collegamentoipertestuale"/>
                <w:rFonts w:ascii="Arial" w:hAnsi="Arial" w:cs="Arial"/>
                <w:noProof/>
              </w:rPr>
              <w:t>3.1</w:t>
            </w:r>
            <w:r w:rsidR="00306D01">
              <w:rPr>
                <w:rFonts w:asciiTheme="minorHAnsi" w:eastAsiaTheme="minorEastAsia" w:hAnsiTheme="minorHAnsi" w:cstheme="minorBidi"/>
                <w:noProof/>
                <w:lang w:eastAsia="it-IT"/>
              </w:rPr>
              <w:tab/>
            </w:r>
            <w:r w:rsidR="00306D01" w:rsidRPr="00F02DE5">
              <w:rPr>
                <w:rStyle w:val="Collegamentoipertestuale"/>
                <w:noProof/>
              </w:rPr>
              <w:t>Il Regolamento 842/2013 e gli Accordi di Parigi</w:t>
            </w:r>
            <w:r w:rsidR="00306D01">
              <w:rPr>
                <w:noProof/>
                <w:webHidden/>
              </w:rPr>
              <w:tab/>
            </w:r>
            <w:r w:rsidR="00306D01">
              <w:rPr>
                <w:noProof/>
                <w:webHidden/>
              </w:rPr>
              <w:fldChar w:fldCharType="begin"/>
            </w:r>
            <w:r w:rsidR="00306D01">
              <w:rPr>
                <w:noProof/>
                <w:webHidden/>
              </w:rPr>
              <w:instrText xml:space="preserve"> PAGEREF _Toc74265395 \h </w:instrText>
            </w:r>
            <w:r w:rsidR="00306D01">
              <w:rPr>
                <w:noProof/>
                <w:webHidden/>
              </w:rPr>
            </w:r>
            <w:r w:rsidR="00306D01">
              <w:rPr>
                <w:noProof/>
                <w:webHidden/>
              </w:rPr>
              <w:fldChar w:fldCharType="separate"/>
            </w:r>
            <w:r w:rsidR="005D69CA">
              <w:rPr>
                <w:noProof/>
                <w:webHidden/>
              </w:rPr>
              <w:t>2</w:t>
            </w:r>
            <w:r w:rsidR="00306D01">
              <w:rPr>
                <w:noProof/>
                <w:webHidden/>
              </w:rPr>
              <w:fldChar w:fldCharType="end"/>
            </w:r>
          </w:hyperlink>
        </w:p>
        <w:p w14:paraId="007EBAB9" w14:textId="532AA8E7" w:rsidR="00306D01" w:rsidRDefault="0011547D">
          <w:pPr>
            <w:pStyle w:val="Sommario2"/>
            <w:tabs>
              <w:tab w:val="left" w:pos="880"/>
              <w:tab w:val="right" w:leader="dot" w:pos="9622"/>
            </w:tabs>
            <w:rPr>
              <w:rFonts w:asciiTheme="minorHAnsi" w:eastAsiaTheme="minorEastAsia" w:hAnsiTheme="minorHAnsi" w:cstheme="minorBidi"/>
              <w:noProof/>
              <w:lang w:eastAsia="it-IT"/>
            </w:rPr>
          </w:pPr>
          <w:hyperlink w:anchor="_Toc74265396" w:history="1">
            <w:r w:rsidR="00306D01" w:rsidRPr="00F02DE5">
              <w:rPr>
                <w:rStyle w:val="Collegamentoipertestuale"/>
                <w:noProof/>
              </w:rPr>
              <w:t>3.2</w:t>
            </w:r>
            <w:r w:rsidR="00306D01">
              <w:rPr>
                <w:rFonts w:asciiTheme="minorHAnsi" w:eastAsiaTheme="minorEastAsia" w:hAnsiTheme="minorHAnsi" w:cstheme="minorBidi"/>
                <w:noProof/>
                <w:lang w:eastAsia="it-IT"/>
              </w:rPr>
              <w:tab/>
            </w:r>
            <w:r w:rsidR="00306D01" w:rsidRPr="00F02DE5">
              <w:rPr>
                <w:rStyle w:val="Collegamentoipertestuale"/>
                <w:noProof/>
              </w:rPr>
              <w:t>Implicazioni del Regolamento 2018/842 per un sistema di crediti di sostenibilità</w:t>
            </w:r>
            <w:r w:rsidR="00306D01">
              <w:rPr>
                <w:noProof/>
                <w:webHidden/>
              </w:rPr>
              <w:tab/>
            </w:r>
            <w:r w:rsidR="00306D01">
              <w:rPr>
                <w:noProof/>
                <w:webHidden/>
              </w:rPr>
              <w:fldChar w:fldCharType="begin"/>
            </w:r>
            <w:r w:rsidR="00306D01">
              <w:rPr>
                <w:noProof/>
                <w:webHidden/>
              </w:rPr>
              <w:instrText xml:space="preserve"> PAGEREF _Toc74265396 \h </w:instrText>
            </w:r>
            <w:r w:rsidR="00306D01">
              <w:rPr>
                <w:noProof/>
                <w:webHidden/>
              </w:rPr>
            </w:r>
            <w:r w:rsidR="00306D01">
              <w:rPr>
                <w:noProof/>
                <w:webHidden/>
              </w:rPr>
              <w:fldChar w:fldCharType="separate"/>
            </w:r>
            <w:r w:rsidR="005D69CA">
              <w:rPr>
                <w:noProof/>
                <w:webHidden/>
              </w:rPr>
              <w:t>2</w:t>
            </w:r>
            <w:r w:rsidR="00306D01">
              <w:rPr>
                <w:noProof/>
                <w:webHidden/>
              </w:rPr>
              <w:fldChar w:fldCharType="end"/>
            </w:r>
          </w:hyperlink>
        </w:p>
        <w:p w14:paraId="18CDF791" w14:textId="291DDCAF" w:rsidR="00306D01" w:rsidRDefault="0011547D">
          <w:pPr>
            <w:pStyle w:val="Sommario1"/>
            <w:tabs>
              <w:tab w:val="left" w:pos="440"/>
              <w:tab w:val="right" w:leader="dot" w:pos="9622"/>
            </w:tabs>
            <w:rPr>
              <w:rFonts w:asciiTheme="minorHAnsi" w:eastAsiaTheme="minorEastAsia" w:hAnsiTheme="minorHAnsi" w:cstheme="minorBidi"/>
              <w:noProof/>
              <w:lang w:eastAsia="it-IT"/>
            </w:rPr>
          </w:pPr>
          <w:hyperlink w:anchor="_Toc74265397" w:history="1">
            <w:r w:rsidR="00306D01" w:rsidRPr="00F02DE5">
              <w:rPr>
                <w:rStyle w:val="Collegamentoipertestuale"/>
                <w:noProof/>
              </w:rPr>
              <w:t>4</w:t>
            </w:r>
            <w:r w:rsidR="00306D01">
              <w:rPr>
                <w:rFonts w:asciiTheme="minorHAnsi" w:eastAsiaTheme="minorEastAsia" w:hAnsiTheme="minorHAnsi" w:cstheme="minorBidi"/>
                <w:noProof/>
                <w:lang w:eastAsia="it-IT"/>
              </w:rPr>
              <w:tab/>
            </w:r>
            <w:r w:rsidR="00306D01" w:rsidRPr="00F02DE5">
              <w:rPr>
                <w:rStyle w:val="Collegamentoipertestuale"/>
                <w:noProof/>
              </w:rPr>
              <w:t>Il Regolamento 841/2018 e la normativa LULUCF</w:t>
            </w:r>
            <w:r w:rsidR="00306D01">
              <w:rPr>
                <w:noProof/>
                <w:webHidden/>
              </w:rPr>
              <w:tab/>
            </w:r>
            <w:r w:rsidR="00306D01">
              <w:rPr>
                <w:noProof/>
                <w:webHidden/>
              </w:rPr>
              <w:fldChar w:fldCharType="begin"/>
            </w:r>
            <w:r w:rsidR="00306D01">
              <w:rPr>
                <w:noProof/>
                <w:webHidden/>
              </w:rPr>
              <w:instrText xml:space="preserve"> PAGEREF _Toc74265397 \h </w:instrText>
            </w:r>
            <w:r w:rsidR="00306D01">
              <w:rPr>
                <w:noProof/>
                <w:webHidden/>
              </w:rPr>
            </w:r>
            <w:r w:rsidR="00306D01">
              <w:rPr>
                <w:noProof/>
                <w:webHidden/>
              </w:rPr>
              <w:fldChar w:fldCharType="separate"/>
            </w:r>
            <w:r w:rsidR="005D69CA">
              <w:rPr>
                <w:noProof/>
                <w:webHidden/>
              </w:rPr>
              <w:t>2</w:t>
            </w:r>
            <w:r w:rsidR="00306D01">
              <w:rPr>
                <w:noProof/>
                <w:webHidden/>
              </w:rPr>
              <w:fldChar w:fldCharType="end"/>
            </w:r>
          </w:hyperlink>
        </w:p>
        <w:p w14:paraId="309F3D89" w14:textId="3AF32EB8" w:rsidR="00306D01" w:rsidRDefault="0011547D">
          <w:pPr>
            <w:pStyle w:val="Sommario2"/>
            <w:tabs>
              <w:tab w:val="left" w:pos="880"/>
              <w:tab w:val="right" w:leader="dot" w:pos="9622"/>
            </w:tabs>
            <w:rPr>
              <w:rFonts w:asciiTheme="minorHAnsi" w:eastAsiaTheme="minorEastAsia" w:hAnsiTheme="minorHAnsi" w:cstheme="minorBidi"/>
              <w:noProof/>
              <w:lang w:eastAsia="it-IT"/>
            </w:rPr>
          </w:pPr>
          <w:hyperlink w:anchor="_Toc74265398" w:history="1">
            <w:r w:rsidR="00306D01" w:rsidRPr="00F02DE5">
              <w:rPr>
                <w:rStyle w:val="Collegamentoipertestuale"/>
                <w:noProof/>
              </w:rPr>
              <w:t>4.1</w:t>
            </w:r>
            <w:r w:rsidR="00306D01">
              <w:rPr>
                <w:rFonts w:asciiTheme="minorHAnsi" w:eastAsiaTheme="minorEastAsia" w:hAnsiTheme="minorHAnsi" w:cstheme="minorBidi"/>
                <w:noProof/>
                <w:lang w:eastAsia="it-IT"/>
              </w:rPr>
              <w:tab/>
            </w:r>
            <w:r w:rsidR="00306D01" w:rsidRPr="00F02DE5">
              <w:rPr>
                <w:rStyle w:val="Collegamentoipertestuale"/>
                <w:noProof/>
              </w:rPr>
              <w:t>Considerazioni relative alla Guidance sui FRL</w:t>
            </w:r>
            <w:r w:rsidR="00306D01">
              <w:rPr>
                <w:noProof/>
                <w:webHidden/>
              </w:rPr>
              <w:tab/>
            </w:r>
            <w:r w:rsidR="00306D01">
              <w:rPr>
                <w:noProof/>
                <w:webHidden/>
              </w:rPr>
              <w:fldChar w:fldCharType="begin"/>
            </w:r>
            <w:r w:rsidR="00306D01">
              <w:rPr>
                <w:noProof/>
                <w:webHidden/>
              </w:rPr>
              <w:instrText xml:space="preserve"> PAGEREF _Toc74265398 \h </w:instrText>
            </w:r>
            <w:r w:rsidR="00306D01">
              <w:rPr>
                <w:noProof/>
                <w:webHidden/>
              </w:rPr>
            </w:r>
            <w:r w:rsidR="00306D01">
              <w:rPr>
                <w:noProof/>
                <w:webHidden/>
              </w:rPr>
              <w:fldChar w:fldCharType="separate"/>
            </w:r>
            <w:r w:rsidR="005D69CA">
              <w:rPr>
                <w:noProof/>
                <w:webHidden/>
              </w:rPr>
              <w:t>2</w:t>
            </w:r>
            <w:r w:rsidR="00306D01">
              <w:rPr>
                <w:noProof/>
                <w:webHidden/>
              </w:rPr>
              <w:fldChar w:fldCharType="end"/>
            </w:r>
          </w:hyperlink>
        </w:p>
        <w:p w14:paraId="6808772A" w14:textId="1A1D03C5" w:rsidR="00306D01" w:rsidRDefault="0011547D">
          <w:pPr>
            <w:pStyle w:val="Sommario2"/>
            <w:tabs>
              <w:tab w:val="left" w:pos="880"/>
              <w:tab w:val="right" w:leader="dot" w:pos="9622"/>
            </w:tabs>
            <w:rPr>
              <w:rFonts w:asciiTheme="minorHAnsi" w:eastAsiaTheme="minorEastAsia" w:hAnsiTheme="minorHAnsi" w:cstheme="minorBidi"/>
              <w:noProof/>
              <w:lang w:eastAsia="it-IT"/>
            </w:rPr>
          </w:pPr>
          <w:hyperlink w:anchor="_Toc74265399" w:history="1">
            <w:r w:rsidR="00306D01" w:rsidRPr="00F02DE5">
              <w:rPr>
                <w:rStyle w:val="Collegamentoipertestuale"/>
                <w:noProof/>
              </w:rPr>
              <w:t>4.2</w:t>
            </w:r>
            <w:r w:rsidR="00306D01">
              <w:rPr>
                <w:rFonts w:asciiTheme="minorHAnsi" w:eastAsiaTheme="minorEastAsia" w:hAnsiTheme="minorHAnsi" w:cstheme="minorBidi"/>
                <w:noProof/>
                <w:lang w:eastAsia="it-IT"/>
              </w:rPr>
              <w:tab/>
            </w:r>
            <w:r w:rsidR="00306D01" w:rsidRPr="00F02DE5">
              <w:rPr>
                <w:rStyle w:val="Collegamentoipertestuale"/>
                <w:noProof/>
              </w:rPr>
              <w:t>Il NFAP e il FRL dell’Italia</w:t>
            </w:r>
            <w:r w:rsidR="00306D01">
              <w:rPr>
                <w:noProof/>
                <w:webHidden/>
              </w:rPr>
              <w:tab/>
            </w:r>
            <w:r w:rsidR="00306D01">
              <w:rPr>
                <w:noProof/>
                <w:webHidden/>
              </w:rPr>
              <w:fldChar w:fldCharType="begin"/>
            </w:r>
            <w:r w:rsidR="00306D01">
              <w:rPr>
                <w:noProof/>
                <w:webHidden/>
              </w:rPr>
              <w:instrText xml:space="preserve"> PAGEREF _Toc74265399 \h </w:instrText>
            </w:r>
            <w:r w:rsidR="00306D01">
              <w:rPr>
                <w:noProof/>
                <w:webHidden/>
              </w:rPr>
            </w:r>
            <w:r w:rsidR="00306D01">
              <w:rPr>
                <w:noProof/>
                <w:webHidden/>
              </w:rPr>
              <w:fldChar w:fldCharType="separate"/>
            </w:r>
            <w:r w:rsidR="005D69CA">
              <w:rPr>
                <w:noProof/>
                <w:webHidden/>
              </w:rPr>
              <w:t>2</w:t>
            </w:r>
            <w:r w:rsidR="00306D01">
              <w:rPr>
                <w:noProof/>
                <w:webHidden/>
              </w:rPr>
              <w:fldChar w:fldCharType="end"/>
            </w:r>
          </w:hyperlink>
        </w:p>
        <w:p w14:paraId="27D065E8" w14:textId="68CDB12A" w:rsidR="00306D01" w:rsidRDefault="0011547D">
          <w:pPr>
            <w:pStyle w:val="Sommario2"/>
            <w:tabs>
              <w:tab w:val="left" w:pos="880"/>
              <w:tab w:val="right" w:leader="dot" w:pos="9622"/>
            </w:tabs>
            <w:rPr>
              <w:rFonts w:asciiTheme="minorHAnsi" w:eastAsiaTheme="minorEastAsia" w:hAnsiTheme="minorHAnsi" w:cstheme="minorBidi"/>
              <w:noProof/>
              <w:lang w:eastAsia="it-IT"/>
            </w:rPr>
          </w:pPr>
          <w:hyperlink w:anchor="_Toc74265400" w:history="1">
            <w:r w:rsidR="00306D01" w:rsidRPr="00F02DE5">
              <w:rPr>
                <w:rStyle w:val="Collegamentoipertestuale"/>
                <w:noProof/>
              </w:rPr>
              <w:t>4.3</w:t>
            </w:r>
            <w:r w:rsidR="00306D01">
              <w:rPr>
                <w:rFonts w:asciiTheme="minorHAnsi" w:eastAsiaTheme="minorEastAsia" w:hAnsiTheme="minorHAnsi" w:cstheme="minorBidi"/>
                <w:noProof/>
                <w:lang w:eastAsia="it-IT"/>
              </w:rPr>
              <w:tab/>
            </w:r>
            <w:r w:rsidR="00306D01" w:rsidRPr="00F02DE5">
              <w:rPr>
                <w:rStyle w:val="Collegamentoipertestuale"/>
                <w:noProof/>
              </w:rPr>
              <w:t>Riepilogo degli aspetti del Regolamento 841 che interessano il progetto</w:t>
            </w:r>
            <w:r w:rsidR="00306D01">
              <w:rPr>
                <w:noProof/>
                <w:webHidden/>
              </w:rPr>
              <w:tab/>
            </w:r>
            <w:r w:rsidR="00306D01">
              <w:rPr>
                <w:noProof/>
                <w:webHidden/>
              </w:rPr>
              <w:fldChar w:fldCharType="begin"/>
            </w:r>
            <w:r w:rsidR="00306D01">
              <w:rPr>
                <w:noProof/>
                <w:webHidden/>
              </w:rPr>
              <w:instrText xml:space="preserve"> PAGEREF _Toc74265400 \h </w:instrText>
            </w:r>
            <w:r w:rsidR="00306D01">
              <w:rPr>
                <w:noProof/>
                <w:webHidden/>
              </w:rPr>
            </w:r>
            <w:r w:rsidR="00306D01">
              <w:rPr>
                <w:noProof/>
                <w:webHidden/>
              </w:rPr>
              <w:fldChar w:fldCharType="separate"/>
            </w:r>
            <w:r w:rsidR="005D69CA">
              <w:rPr>
                <w:noProof/>
                <w:webHidden/>
              </w:rPr>
              <w:t>2</w:t>
            </w:r>
            <w:r w:rsidR="00306D01">
              <w:rPr>
                <w:noProof/>
                <w:webHidden/>
              </w:rPr>
              <w:fldChar w:fldCharType="end"/>
            </w:r>
          </w:hyperlink>
        </w:p>
        <w:p w14:paraId="00E236C6" w14:textId="7E64E718" w:rsidR="00306D01" w:rsidRDefault="0011547D">
          <w:pPr>
            <w:pStyle w:val="Sommario1"/>
            <w:tabs>
              <w:tab w:val="left" w:pos="440"/>
              <w:tab w:val="right" w:leader="dot" w:pos="9622"/>
            </w:tabs>
            <w:rPr>
              <w:rFonts w:asciiTheme="minorHAnsi" w:eastAsiaTheme="minorEastAsia" w:hAnsiTheme="minorHAnsi" w:cstheme="minorBidi"/>
              <w:noProof/>
              <w:lang w:eastAsia="it-IT"/>
            </w:rPr>
          </w:pPr>
          <w:hyperlink w:anchor="_Toc74265401" w:history="1">
            <w:r w:rsidR="00306D01" w:rsidRPr="00F02DE5">
              <w:rPr>
                <w:rStyle w:val="Collegamentoipertestuale"/>
                <w:noProof/>
              </w:rPr>
              <w:t>5</w:t>
            </w:r>
            <w:r w:rsidR="00306D01">
              <w:rPr>
                <w:rFonts w:asciiTheme="minorHAnsi" w:eastAsiaTheme="minorEastAsia" w:hAnsiTheme="minorHAnsi" w:cstheme="minorBidi"/>
                <w:noProof/>
                <w:lang w:eastAsia="it-IT"/>
              </w:rPr>
              <w:tab/>
            </w:r>
            <w:r w:rsidR="00306D01" w:rsidRPr="00F02DE5">
              <w:rPr>
                <w:rStyle w:val="Collegamentoipertestuale"/>
                <w:noProof/>
              </w:rPr>
              <w:t>La governance sul Clima il Regolamento 2018/1999 e l’istituzione dei PNIEC</w:t>
            </w:r>
            <w:r w:rsidR="00306D01">
              <w:rPr>
                <w:noProof/>
                <w:webHidden/>
              </w:rPr>
              <w:tab/>
            </w:r>
            <w:r w:rsidR="00306D01">
              <w:rPr>
                <w:noProof/>
                <w:webHidden/>
              </w:rPr>
              <w:fldChar w:fldCharType="begin"/>
            </w:r>
            <w:r w:rsidR="00306D01">
              <w:rPr>
                <w:noProof/>
                <w:webHidden/>
              </w:rPr>
              <w:instrText xml:space="preserve"> PAGEREF _Toc74265401 \h </w:instrText>
            </w:r>
            <w:r w:rsidR="00306D01">
              <w:rPr>
                <w:noProof/>
                <w:webHidden/>
              </w:rPr>
            </w:r>
            <w:r w:rsidR="00306D01">
              <w:rPr>
                <w:noProof/>
                <w:webHidden/>
              </w:rPr>
              <w:fldChar w:fldCharType="separate"/>
            </w:r>
            <w:r w:rsidR="005D69CA">
              <w:rPr>
                <w:noProof/>
                <w:webHidden/>
              </w:rPr>
              <w:t>2</w:t>
            </w:r>
            <w:r w:rsidR="00306D01">
              <w:rPr>
                <w:noProof/>
                <w:webHidden/>
              </w:rPr>
              <w:fldChar w:fldCharType="end"/>
            </w:r>
          </w:hyperlink>
        </w:p>
        <w:p w14:paraId="015BF3F8" w14:textId="79979CFB" w:rsidR="00306D01" w:rsidRDefault="0011547D">
          <w:pPr>
            <w:pStyle w:val="Sommario1"/>
            <w:tabs>
              <w:tab w:val="left" w:pos="440"/>
              <w:tab w:val="right" w:leader="dot" w:pos="9622"/>
            </w:tabs>
            <w:rPr>
              <w:rFonts w:asciiTheme="minorHAnsi" w:eastAsiaTheme="minorEastAsia" w:hAnsiTheme="minorHAnsi" w:cstheme="minorBidi"/>
              <w:noProof/>
              <w:lang w:eastAsia="it-IT"/>
            </w:rPr>
          </w:pPr>
          <w:hyperlink w:anchor="_Toc74265402" w:history="1">
            <w:r w:rsidR="00306D01" w:rsidRPr="00F02DE5">
              <w:rPr>
                <w:rStyle w:val="Collegamentoipertestuale"/>
                <w:noProof/>
              </w:rPr>
              <w:t>6</w:t>
            </w:r>
            <w:r w:rsidR="00306D01">
              <w:rPr>
                <w:rFonts w:asciiTheme="minorHAnsi" w:eastAsiaTheme="minorEastAsia" w:hAnsiTheme="minorHAnsi" w:cstheme="minorBidi"/>
                <w:noProof/>
                <w:lang w:eastAsia="it-IT"/>
              </w:rPr>
              <w:tab/>
            </w:r>
            <w:r w:rsidR="00306D01" w:rsidRPr="00F02DE5">
              <w:rPr>
                <w:rStyle w:val="Collegamentoipertestuale"/>
                <w:noProof/>
              </w:rPr>
              <w:t>La nuova Strategia Forestale e sui servizi ecosistemici della UE</w:t>
            </w:r>
            <w:r w:rsidR="00306D01">
              <w:rPr>
                <w:noProof/>
                <w:webHidden/>
              </w:rPr>
              <w:tab/>
            </w:r>
            <w:r w:rsidR="00306D01">
              <w:rPr>
                <w:noProof/>
                <w:webHidden/>
              </w:rPr>
              <w:fldChar w:fldCharType="begin"/>
            </w:r>
            <w:r w:rsidR="00306D01">
              <w:rPr>
                <w:noProof/>
                <w:webHidden/>
              </w:rPr>
              <w:instrText xml:space="preserve"> PAGEREF _Toc74265402 \h </w:instrText>
            </w:r>
            <w:r w:rsidR="00306D01">
              <w:rPr>
                <w:noProof/>
                <w:webHidden/>
              </w:rPr>
            </w:r>
            <w:r w:rsidR="00306D01">
              <w:rPr>
                <w:noProof/>
                <w:webHidden/>
              </w:rPr>
              <w:fldChar w:fldCharType="separate"/>
            </w:r>
            <w:r w:rsidR="005D69CA">
              <w:rPr>
                <w:noProof/>
                <w:webHidden/>
              </w:rPr>
              <w:t>2</w:t>
            </w:r>
            <w:r w:rsidR="00306D01">
              <w:rPr>
                <w:noProof/>
                <w:webHidden/>
              </w:rPr>
              <w:fldChar w:fldCharType="end"/>
            </w:r>
          </w:hyperlink>
        </w:p>
        <w:p w14:paraId="3FAB20C0" w14:textId="493623C1" w:rsidR="00306D01" w:rsidRDefault="0011547D">
          <w:pPr>
            <w:pStyle w:val="Sommario1"/>
            <w:tabs>
              <w:tab w:val="left" w:pos="440"/>
              <w:tab w:val="right" w:leader="dot" w:pos="9622"/>
            </w:tabs>
            <w:rPr>
              <w:rFonts w:asciiTheme="minorHAnsi" w:eastAsiaTheme="minorEastAsia" w:hAnsiTheme="minorHAnsi" w:cstheme="minorBidi"/>
              <w:noProof/>
              <w:lang w:eastAsia="it-IT"/>
            </w:rPr>
          </w:pPr>
          <w:hyperlink w:anchor="_Toc74265403" w:history="1">
            <w:r w:rsidR="00306D01" w:rsidRPr="00F02DE5">
              <w:rPr>
                <w:rStyle w:val="Collegamentoipertestuale"/>
                <w:noProof/>
              </w:rPr>
              <w:t>7</w:t>
            </w:r>
            <w:r w:rsidR="00306D01">
              <w:rPr>
                <w:rFonts w:asciiTheme="minorHAnsi" w:eastAsiaTheme="minorEastAsia" w:hAnsiTheme="minorHAnsi" w:cstheme="minorBidi"/>
                <w:noProof/>
                <w:lang w:eastAsia="it-IT"/>
              </w:rPr>
              <w:tab/>
            </w:r>
            <w:r w:rsidR="00306D01" w:rsidRPr="00F02DE5">
              <w:rPr>
                <w:rStyle w:val="Collegamentoipertestuale"/>
                <w:noProof/>
              </w:rPr>
              <w:t>La normativa nazionale e regionale sulle foreste e i servizi ecosistemici</w:t>
            </w:r>
            <w:r w:rsidR="00306D01">
              <w:rPr>
                <w:noProof/>
                <w:webHidden/>
              </w:rPr>
              <w:tab/>
            </w:r>
            <w:r w:rsidR="00306D01">
              <w:rPr>
                <w:noProof/>
                <w:webHidden/>
              </w:rPr>
              <w:fldChar w:fldCharType="begin"/>
            </w:r>
            <w:r w:rsidR="00306D01">
              <w:rPr>
                <w:noProof/>
                <w:webHidden/>
              </w:rPr>
              <w:instrText xml:space="preserve"> PAGEREF _Toc74265403 \h </w:instrText>
            </w:r>
            <w:r w:rsidR="00306D01">
              <w:rPr>
                <w:noProof/>
                <w:webHidden/>
              </w:rPr>
            </w:r>
            <w:r w:rsidR="00306D01">
              <w:rPr>
                <w:noProof/>
                <w:webHidden/>
              </w:rPr>
              <w:fldChar w:fldCharType="separate"/>
            </w:r>
            <w:r w:rsidR="005D69CA">
              <w:rPr>
                <w:noProof/>
                <w:webHidden/>
              </w:rPr>
              <w:t>2</w:t>
            </w:r>
            <w:r w:rsidR="00306D01">
              <w:rPr>
                <w:noProof/>
                <w:webHidden/>
              </w:rPr>
              <w:fldChar w:fldCharType="end"/>
            </w:r>
          </w:hyperlink>
        </w:p>
        <w:p w14:paraId="231438CF" w14:textId="3F41B3CD" w:rsidR="00306D01" w:rsidRDefault="0011547D">
          <w:pPr>
            <w:pStyle w:val="Sommario2"/>
            <w:tabs>
              <w:tab w:val="left" w:pos="880"/>
              <w:tab w:val="right" w:leader="dot" w:pos="9622"/>
            </w:tabs>
            <w:rPr>
              <w:rFonts w:asciiTheme="minorHAnsi" w:eastAsiaTheme="minorEastAsia" w:hAnsiTheme="minorHAnsi" w:cstheme="minorBidi"/>
              <w:noProof/>
              <w:lang w:eastAsia="it-IT"/>
            </w:rPr>
          </w:pPr>
          <w:hyperlink w:anchor="_Toc74265404" w:history="1">
            <w:r w:rsidR="00306D01" w:rsidRPr="00F02DE5">
              <w:rPr>
                <w:rStyle w:val="Collegamentoipertestuale"/>
                <w:noProof/>
              </w:rPr>
              <w:t>7.1</w:t>
            </w:r>
            <w:r w:rsidR="00306D01">
              <w:rPr>
                <w:rFonts w:asciiTheme="minorHAnsi" w:eastAsiaTheme="minorEastAsia" w:hAnsiTheme="minorHAnsi" w:cstheme="minorBidi"/>
                <w:noProof/>
                <w:lang w:eastAsia="it-IT"/>
              </w:rPr>
              <w:tab/>
            </w:r>
            <w:r w:rsidR="00306D01" w:rsidRPr="00F02DE5">
              <w:rPr>
                <w:rStyle w:val="Collegamentoipertestuale"/>
                <w:noProof/>
              </w:rPr>
              <w:t>Il Testo Unico sulle Foreste e le Filiere Forestali (D.L. 34/2018)</w:t>
            </w:r>
            <w:r w:rsidR="00306D01">
              <w:rPr>
                <w:noProof/>
                <w:webHidden/>
              </w:rPr>
              <w:tab/>
            </w:r>
            <w:r w:rsidR="00306D01">
              <w:rPr>
                <w:noProof/>
                <w:webHidden/>
              </w:rPr>
              <w:fldChar w:fldCharType="begin"/>
            </w:r>
            <w:r w:rsidR="00306D01">
              <w:rPr>
                <w:noProof/>
                <w:webHidden/>
              </w:rPr>
              <w:instrText xml:space="preserve"> PAGEREF _Toc74265404 \h </w:instrText>
            </w:r>
            <w:r w:rsidR="00306D01">
              <w:rPr>
                <w:noProof/>
                <w:webHidden/>
              </w:rPr>
            </w:r>
            <w:r w:rsidR="00306D01">
              <w:rPr>
                <w:noProof/>
                <w:webHidden/>
              </w:rPr>
              <w:fldChar w:fldCharType="separate"/>
            </w:r>
            <w:r w:rsidR="005D69CA">
              <w:rPr>
                <w:noProof/>
                <w:webHidden/>
              </w:rPr>
              <w:t>2</w:t>
            </w:r>
            <w:r w:rsidR="00306D01">
              <w:rPr>
                <w:noProof/>
                <w:webHidden/>
              </w:rPr>
              <w:fldChar w:fldCharType="end"/>
            </w:r>
          </w:hyperlink>
        </w:p>
        <w:p w14:paraId="59D41A44" w14:textId="2A2485EF" w:rsidR="00306D01" w:rsidRDefault="0011547D">
          <w:pPr>
            <w:pStyle w:val="Sommario2"/>
            <w:tabs>
              <w:tab w:val="left" w:pos="880"/>
              <w:tab w:val="right" w:leader="dot" w:pos="9622"/>
            </w:tabs>
            <w:rPr>
              <w:rFonts w:asciiTheme="minorHAnsi" w:eastAsiaTheme="minorEastAsia" w:hAnsiTheme="minorHAnsi" w:cstheme="minorBidi"/>
              <w:noProof/>
              <w:lang w:eastAsia="it-IT"/>
            </w:rPr>
          </w:pPr>
          <w:hyperlink w:anchor="_Toc74265405" w:history="1">
            <w:r w:rsidR="00306D01" w:rsidRPr="00F02DE5">
              <w:rPr>
                <w:rStyle w:val="Collegamentoipertestuale"/>
                <w:noProof/>
              </w:rPr>
              <w:t>7.2</w:t>
            </w:r>
            <w:r w:rsidR="00306D01">
              <w:rPr>
                <w:rFonts w:asciiTheme="minorHAnsi" w:eastAsiaTheme="minorEastAsia" w:hAnsiTheme="minorHAnsi" w:cstheme="minorBidi"/>
                <w:noProof/>
                <w:lang w:eastAsia="it-IT"/>
              </w:rPr>
              <w:tab/>
            </w:r>
            <w:r w:rsidR="00306D01" w:rsidRPr="00F02DE5">
              <w:rPr>
                <w:rStyle w:val="Collegamentoipertestuale"/>
                <w:noProof/>
              </w:rPr>
              <w:t>La Strategia Forestale Nazionale (in fase di rilascio)</w:t>
            </w:r>
            <w:r w:rsidR="00306D01">
              <w:rPr>
                <w:noProof/>
                <w:webHidden/>
              </w:rPr>
              <w:tab/>
            </w:r>
            <w:r w:rsidR="00306D01">
              <w:rPr>
                <w:noProof/>
                <w:webHidden/>
              </w:rPr>
              <w:fldChar w:fldCharType="begin"/>
            </w:r>
            <w:r w:rsidR="00306D01">
              <w:rPr>
                <w:noProof/>
                <w:webHidden/>
              </w:rPr>
              <w:instrText xml:space="preserve"> PAGEREF _Toc74265405 \h </w:instrText>
            </w:r>
            <w:r w:rsidR="00306D01">
              <w:rPr>
                <w:noProof/>
                <w:webHidden/>
              </w:rPr>
            </w:r>
            <w:r w:rsidR="00306D01">
              <w:rPr>
                <w:noProof/>
                <w:webHidden/>
              </w:rPr>
              <w:fldChar w:fldCharType="separate"/>
            </w:r>
            <w:r w:rsidR="005D69CA">
              <w:rPr>
                <w:noProof/>
                <w:webHidden/>
              </w:rPr>
              <w:t>2</w:t>
            </w:r>
            <w:r w:rsidR="00306D01">
              <w:rPr>
                <w:noProof/>
                <w:webHidden/>
              </w:rPr>
              <w:fldChar w:fldCharType="end"/>
            </w:r>
          </w:hyperlink>
        </w:p>
        <w:p w14:paraId="39007DF7" w14:textId="7BDC66B6" w:rsidR="00306D01" w:rsidRDefault="0011547D">
          <w:pPr>
            <w:pStyle w:val="Sommario2"/>
            <w:tabs>
              <w:tab w:val="left" w:pos="880"/>
              <w:tab w:val="right" w:leader="dot" w:pos="9622"/>
            </w:tabs>
            <w:rPr>
              <w:rFonts w:asciiTheme="minorHAnsi" w:eastAsiaTheme="minorEastAsia" w:hAnsiTheme="minorHAnsi" w:cstheme="minorBidi"/>
              <w:noProof/>
              <w:lang w:eastAsia="it-IT"/>
            </w:rPr>
          </w:pPr>
          <w:hyperlink w:anchor="_Toc74265406" w:history="1">
            <w:r w:rsidR="00306D01" w:rsidRPr="00F02DE5">
              <w:rPr>
                <w:rStyle w:val="Collegamentoipertestuale"/>
                <w:noProof/>
              </w:rPr>
              <w:t>7.3</w:t>
            </w:r>
            <w:r w:rsidR="00306D01">
              <w:rPr>
                <w:rFonts w:asciiTheme="minorHAnsi" w:eastAsiaTheme="minorEastAsia" w:hAnsiTheme="minorHAnsi" w:cstheme="minorBidi"/>
                <w:noProof/>
                <w:lang w:eastAsia="it-IT"/>
              </w:rPr>
              <w:tab/>
            </w:r>
            <w:r w:rsidR="00306D01" w:rsidRPr="00F02DE5">
              <w:rPr>
                <w:rStyle w:val="Collegamentoipertestuale"/>
                <w:noProof/>
              </w:rPr>
              <w:t>Le politiche regionali</w:t>
            </w:r>
            <w:r w:rsidR="00306D01">
              <w:rPr>
                <w:noProof/>
                <w:webHidden/>
              </w:rPr>
              <w:tab/>
            </w:r>
            <w:r w:rsidR="00306D01">
              <w:rPr>
                <w:noProof/>
                <w:webHidden/>
              </w:rPr>
              <w:fldChar w:fldCharType="begin"/>
            </w:r>
            <w:r w:rsidR="00306D01">
              <w:rPr>
                <w:noProof/>
                <w:webHidden/>
              </w:rPr>
              <w:instrText xml:space="preserve"> PAGEREF _Toc74265406 \h </w:instrText>
            </w:r>
            <w:r w:rsidR="00306D01">
              <w:rPr>
                <w:noProof/>
                <w:webHidden/>
              </w:rPr>
            </w:r>
            <w:r w:rsidR="00306D01">
              <w:rPr>
                <w:noProof/>
                <w:webHidden/>
              </w:rPr>
              <w:fldChar w:fldCharType="separate"/>
            </w:r>
            <w:r w:rsidR="005D69CA">
              <w:rPr>
                <w:noProof/>
                <w:webHidden/>
              </w:rPr>
              <w:t>2</w:t>
            </w:r>
            <w:r w:rsidR="00306D01">
              <w:rPr>
                <w:noProof/>
                <w:webHidden/>
              </w:rPr>
              <w:fldChar w:fldCharType="end"/>
            </w:r>
          </w:hyperlink>
        </w:p>
        <w:p w14:paraId="62ED4FB5" w14:textId="059532D0" w:rsidR="00306D01" w:rsidRDefault="0011547D">
          <w:pPr>
            <w:pStyle w:val="Sommario1"/>
            <w:tabs>
              <w:tab w:val="left" w:pos="440"/>
              <w:tab w:val="right" w:leader="dot" w:pos="9622"/>
            </w:tabs>
            <w:rPr>
              <w:rFonts w:asciiTheme="minorHAnsi" w:eastAsiaTheme="minorEastAsia" w:hAnsiTheme="minorHAnsi" w:cstheme="minorBidi"/>
              <w:noProof/>
              <w:lang w:eastAsia="it-IT"/>
            </w:rPr>
          </w:pPr>
          <w:hyperlink w:anchor="_Toc74265407" w:history="1">
            <w:r w:rsidR="00306D01" w:rsidRPr="00F02DE5">
              <w:rPr>
                <w:rStyle w:val="Collegamentoipertestuale"/>
                <w:noProof/>
              </w:rPr>
              <w:t>8</w:t>
            </w:r>
            <w:r w:rsidR="00306D01">
              <w:rPr>
                <w:rFonts w:asciiTheme="minorHAnsi" w:eastAsiaTheme="minorEastAsia" w:hAnsiTheme="minorHAnsi" w:cstheme="minorBidi"/>
                <w:noProof/>
                <w:lang w:eastAsia="it-IT"/>
              </w:rPr>
              <w:tab/>
            </w:r>
            <w:r w:rsidR="00306D01" w:rsidRPr="00F02DE5">
              <w:rPr>
                <w:rStyle w:val="Collegamentoipertestuale"/>
                <w:noProof/>
              </w:rPr>
              <w:t>Il Protocollo di Kyoto e il meccanismo CDM</w:t>
            </w:r>
            <w:r w:rsidR="00306D01">
              <w:rPr>
                <w:noProof/>
                <w:webHidden/>
              </w:rPr>
              <w:tab/>
            </w:r>
            <w:r w:rsidR="00306D01">
              <w:rPr>
                <w:noProof/>
                <w:webHidden/>
              </w:rPr>
              <w:fldChar w:fldCharType="begin"/>
            </w:r>
            <w:r w:rsidR="00306D01">
              <w:rPr>
                <w:noProof/>
                <w:webHidden/>
              </w:rPr>
              <w:instrText xml:space="preserve"> PAGEREF _Toc74265407 \h </w:instrText>
            </w:r>
            <w:r w:rsidR="00306D01">
              <w:rPr>
                <w:noProof/>
                <w:webHidden/>
              </w:rPr>
            </w:r>
            <w:r w:rsidR="00306D01">
              <w:rPr>
                <w:noProof/>
                <w:webHidden/>
              </w:rPr>
              <w:fldChar w:fldCharType="separate"/>
            </w:r>
            <w:r w:rsidR="005D69CA">
              <w:rPr>
                <w:noProof/>
                <w:webHidden/>
              </w:rPr>
              <w:t>2</w:t>
            </w:r>
            <w:r w:rsidR="00306D01">
              <w:rPr>
                <w:noProof/>
                <w:webHidden/>
              </w:rPr>
              <w:fldChar w:fldCharType="end"/>
            </w:r>
          </w:hyperlink>
        </w:p>
        <w:p w14:paraId="4517D0EF" w14:textId="5185C90E" w:rsidR="00306D01" w:rsidRDefault="0011547D">
          <w:pPr>
            <w:pStyle w:val="Sommario1"/>
            <w:tabs>
              <w:tab w:val="left" w:pos="440"/>
              <w:tab w:val="right" w:leader="dot" w:pos="9622"/>
            </w:tabs>
            <w:rPr>
              <w:rFonts w:asciiTheme="minorHAnsi" w:eastAsiaTheme="minorEastAsia" w:hAnsiTheme="minorHAnsi" w:cstheme="minorBidi"/>
              <w:noProof/>
              <w:lang w:eastAsia="it-IT"/>
            </w:rPr>
          </w:pPr>
          <w:hyperlink w:anchor="_Toc74265408" w:history="1">
            <w:r w:rsidR="00306D01" w:rsidRPr="00F02DE5">
              <w:rPr>
                <w:rStyle w:val="Collegamentoipertestuale"/>
                <w:noProof/>
              </w:rPr>
              <w:t>9</w:t>
            </w:r>
            <w:r w:rsidR="00306D01">
              <w:rPr>
                <w:rFonts w:asciiTheme="minorHAnsi" w:eastAsiaTheme="minorEastAsia" w:hAnsiTheme="minorHAnsi" w:cstheme="minorBidi"/>
                <w:noProof/>
                <w:lang w:eastAsia="it-IT"/>
              </w:rPr>
              <w:tab/>
            </w:r>
            <w:r w:rsidR="00306D01" w:rsidRPr="00F02DE5">
              <w:rPr>
                <w:rStyle w:val="Collegamentoipertestuale"/>
                <w:noProof/>
              </w:rPr>
              <w:t>Conclusioni: quale ruolo delle Regioni nella gestione dei PES?</w:t>
            </w:r>
            <w:r w:rsidR="00306D01">
              <w:rPr>
                <w:noProof/>
                <w:webHidden/>
              </w:rPr>
              <w:tab/>
            </w:r>
            <w:r w:rsidR="00306D01">
              <w:rPr>
                <w:noProof/>
                <w:webHidden/>
              </w:rPr>
              <w:fldChar w:fldCharType="begin"/>
            </w:r>
            <w:r w:rsidR="00306D01">
              <w:rPr>
                <w:noProof/>
                <w:webHidden/>
              </w:rPr>
              <w:instrText xml:space="preserve"> PAGEREF _Toc74265408 \h </w:instrText>
            </w:r>
            <w:r w:rsidR="00306D01">
              <w:rPr>
                <w:noProof/>
                <w:webHidden/>
              </w:rPr>
            </w:r>
            <w:r w:rsidR="00306D01">
              <w:rPr>
                <w:noProof/>
                <w:webHidden/>
              </w:rPr>
              <w:fldChar w:fldCharType="separate"/>
            </w:r>
            <w:r w:rsidR="005D69CA">
              <w:rPr>
                <w:noProof/>
                <w:webHidden/>
              </w:rPr>
              <w:t>2</w:t>
            </w:r>
            <w:r w:rsidR="00306D01">
              <w:rPr>
                <w:noProof/>
                <w:webHidden/>
              </w:rPr>
              <w:fldChar w:fldCharType="end"/>
            </w:r>
          </w:hyperlink>
        </w:p>
        <w:p w14:paraId="3DB7362B" w14:textId="6938CB64" w:rsidR="00306D01" w:rsidRDefault="0011547D">
          <w:pPr>
            <w:pStyle w:val="Sommario2"/>
            <w:tabs>
              <w:tab w:val="left" w:pos="880"/>
              <w:tab w:val="right" w:leader="dot" w:pos="9622"/>
            </w:tabs>
            <w:rPr>
              <w:rFonts w:asciiTheme="minorHAnsi" w:eastAsiaTheme="minorEastAsia" w:hAnsiTheme="minorHAnsi" w:cstheme="minorBidi"/>
              <w:noProof/>
              <w:lang w:eastAsia="it-IT"/>
            </w:rPr>
          </w:pPr>
          <w:hyperlink w:anchor="_Toc74265409" w:history="1">
            <w:r w:rsidR="00306D01" w:rsidRPr="00F02DE5">
              <w:rPr>
                <w:rStyle w:val="Collegamentoipertestuale"/>
                <w:noProof/>
              </w:rPr>
              <w:t>9.1</w:t>
            </w:r>
            <w:r w:rsidR="00306D01">
              <w:rPr>
                <w:rFonts w:asciiTheme="minorHAnsi" w:eastAsiaTheme="minorEastAsia" w:hAnsiTheme="minorHAnsi" w:cstheme="minorBidi"/>
                <w:noProof/>
                <w:lang w:eastAsia="it-IT"/>
              </w:rPr>
              <w:tab/>
            </w:r>
            <w:r w:rsidR="00306D01" w:rsidRPr="00F02DE5">
              <w:rPr>
                <w:rStyle w:val="Collegamentoipertestuale"/>
                <w:noProof/>
              </w:rPr>
              <w:t>Importanza del settore forestale nelle politiche sul clima Ue e nazionali</w:t>
            </w:r>
            <w:r w:rsidR="00306D01">
              <w:rPr>
                <w:noProof/>
                <w:webHidden/>
              </w:rPr>
              <w:tab/>
            </w:r>
            <w:r w:rsidR="00306D01">
              <w:rPr>
                <w:noProof/>
                <w:webHidden/>
              </w:rPr>
              <w:fldChar w:fldCharType="begin"/>
            </w:r>
            <w:r w:rsidR="00306D01">
              <w:rPr>
                <w:noProof/>
                <w:webHidden/>
              </w:rPr>
              <w:instrText xml:space="preserve"> PAGEREF _Toc74265409 \h </w:instrText>
            </w:r>
            <w:r w:rsidR="00306D01">
              <w:rPr>
                <w:noProof/>
                <w:webHidden/>
              </w:rPr>
            </w:r>
            <w:r w:rsidR="00306D01">
              <w:rPr>
                <w:noProof/>
                <w:webHidden/>
              </w:rPr>
              <w:fldChar w:fldCharType="separate"/>
            </w:r>
            <w:r w:rsidR="005D69CA">
              <w:rPr>
                <w:noProof/>
                <w:webHidden/>
              </w:rPr>
              <w:t>2</w:t>
            </w:r>
            <w:r w:rsidR="00306D01">
              <w:rPr>
                <w:noProof/>
                <w:webHidden/>
              </w:rPr>
              <w:fldChar w:fldCharType="end"/>
            </w:r>
          </w:hyperlink>
        </w:p>
        <w:p w14:paraId="38A5E531" w14:textId="1BD6C5D5" w:rsidR="00306D01" w:rsidRDefault="0011547D">
          <w:pPr>
            <w:pStyle w:val="Sommario2"/>
            <w:tabs>
              <w:tab w:val="left" w:pos="880"/>
              <w:tab w:val="right" w:leader="dot" w:pos="9622"/>
            </w:tabs>
            <w:rPr>
              <w:rFonts w:asciiTheme="minorHAnsi" w:eastAsiaTheme="minorEastAsia" w:hAnsiTheme="minorHAnsi" w:cstheme="minorBidi"/>
              <w:noProof/>
              <w:lang w:eastAsia="it-IT"/>
            </w:rPr>
          </w:pPr>
          <w:hyperlink w:anchor="_Toc74265410" w:history="1">
            <w:r w:rsidR="00306D01" w:rsidRPr="00F02DE5">
              <w:rPr>
                <w:rStyle w:val="Collegamentoipertestuale"/>
                <w:noProof/>
              </w:rPr>
              <w:t>9.2</w:t>
            </w:r>
            <w:r w:rsidR="00306D01">
              <w:rPr>
                <w:rFonts w:asciiTheme="minorHAnsi" w:eastAsiaTheme="minorEastAsia" w:hAnsiTheme="minorHAnsi" w:cstheme="minorBidi"/>
                <w:noProof/>
                <w:lang w:eastAsia="it-IT"/>
              </w:rPr>
              <w:tab/>
            </w:r>
            <w:r w:rsidR="00306D01" w:rsidRPr="00F02DE5">
              <w:rPr>
                <w:rStyle w:val="Collegamentoipertestuale"/>
                <w:noProof/>
              </w:rPr>
              <w:t>Le Regioni come proponenti di un sistema di PES</w:t>
            </w:r>
            <w:r w:rsidR="00306D01">
              <w:rPr>
                <w:noProof/>
                <w:webHidden/>
              </w:rPr>
              <w:tab/>
            </w:r>
            <w:r w:rsidR="00306D01">
              <w:rPr>
                <w:noProof/>
                <w:webHidden/>
              </w:rPr>
              <w:fldChar w:fldCharType="begin"/>
            </w:r>
            <w:r w:rsidR="00306D01">
              <w:rPr>
                <w:noProof/>
                <w:webHidden/>
              </w:rPr>
              <w:instrText xml:space="preserve"> PAGEREF _Toc74265410 \h </w:instrText>
            </w:r>
            <w:r w:rsidR="00306D01">
              <w:rPr>
                <w:noProof/>
                <w:webHidden/>
              </w:rPr>
            </w:r>
            <w:r w:rsidR="00306D01">
              <w:rPr>
                <w:noProof/>
                <w:webHidden/>
              </w:rPr>
              <w:fldChar w:fldCharType="separate"/>
            </w:r>
            <w:r w:rsidR="005D69CA">
              <w:rPr>
                <w:noProof/>
                <w:webHidden/>
              </w:rPr>
              <w:t>2</w:t>
            </w:r>
            <w:r w:rsidR="00306D01">
              <w:rPr>
                <w:noProof/>
                <w:webHidden/>
              </w:rPr>
              <w:fldChar w:fldCharType="end"/>
            </w:r>
          </w:hyperlink>
        </w:p>
        <w:p w14:paraId="46FF6404" w14:textId="4F564CE9" w:rsidR="00942B32" w:rsidRDefault="00942B32">
          <w:r>
            <w:rPr>
              <w:b/>
              <w:bCs/>
            </w:rPr>
            <w:fldChar w:fldCharType="end"/>
          </w:r>
        </w:p>
      </w:sdtContent>
    </w:sdt>
    <w:p w14:paraId="00FCB5E1" w14:textId="05C6FCAE" w:rsidR="00406FD2" w:rsidRDefault="00406FD2" w:rsidP="002A4817">
      <w:pPr>
        <w:pStyle w:val="Corpotesto"/>
        <w:spacing w:before="104" w:line="237" w:lineRule="auto"/>
        <w:ind w:right="46"/>
        <w:jc w:val="both"/>
        <w:rPr>
          <w:rFonts w:ascii="Arial" w:hAnsi="Arial" w:cs="Arial"/>
          <w:sz w:val="24"/>
          <w:szCs w:val="24"/>
          <w:lang w:val="en-GB"/>
        </w:rPr>
      </w:pPr>
    </w:p>
    <w:p w14:paraId="3DD85635" w14:textId="2F701588" w:rsidR="00406FD2" w:rsidRDefault="00406FD2" w:rsidP="002A4817">
      <w:pPr>
        <w:pStyle w:val="Corpotesto"/>
        <w:spacing w:before="104" w:line="237" w:lineRule="auto"/>
        <w:ind w:right="46"/>
        <w:jc w:val="both"/>
        <w:rPr>
          <w:rFonts w:ascii="Arial" w:hAnsi="Arial" w:cs="Arial"/>
          <w:sz w:val="24"/>
          <w:szCs w:val="24"/>
          <w:lang w:val="en-GB"/>
        </w:rPr>
      </w:pPr>
    </w:p>
    <w:p w14:paraId="79F6D9EB" w14:textId="6C0F0229" w:rsidR="00406FD2" w:rsidRDefault="00406FD2" w:rsidP="002A4817">
      <w:pPr>
        <w:pStyle w:val="Corpotesto"/>
        <w:spacing w:before="104" w:line="237" w:lineRule="auto"/>
        <w:ind w:right="46"/>
        <w:jc w:val="both"/>
        <w:rPr>
          <w:rFonts w:ascii="Arial" w:hAnsi="Arial" w:cs="Arial"/>
          <w:sz w:val="24"/>
          <w:szCs w:val="24"/>
          <w:lang w:val="en-GB"/>
        </w:rPr>
      </w:pPr>
    </w:p>
    <w:p w14:paraId="16D2CEB1" w14:textId="7678FC1B" w:rsidR="006121CD" w:rsidRDefault="006121CD" w:rsidP="006121CD">
      <w:pPr>
        <w:pStyle w:val="Titolo1"/>
        <w:rPr>
          <w:lang w:val="en-GB"/>
        </w:rPr>
      </w:pPr>
      <w:r>
        <w:rPr>
          <w:lang w:val="en-GB"/>
        </w:rPr>
        <w:t>Summary (in inglese)</w:t>
      </w:r>
    </w:p>
    <w:p w14:paraId="56C4D66E" w14:textId="77777777" w:rsidR="00BA33F6" w:rsidRPr="001A36D2" w:rsidRDefault="00BA33F6" w:rsidP="00BA33F6">
      <w:pPr>
        <w:shd w:val="clear" w:color="auto" w:fill="FFFFFF"/>
        <w:ind w:right="45" w:firstLine="708"/>
        <w:jc w:val="both"/>
        <w:rPr>
          <w:rFonts w:ascii="Arial" w:eastAsia="Times New Roman" w:hAnsi="Arial" w:cs="Arial"/>
          <w:color w:val="201F1E"/>
          <w:sz w:val="24"/>
          <w:szCs w:val="24"/>
          <w:lang w:val="en-US" w:eastAsia="it-IT"/>
        </w:rPr>
      </w:pPr>
      <w:r w:rsidRPr="001A36D2">
        <w:rPr>
          <w:rFonts w:ascii="Arial" w:eastAsia="Times New Roman" w:hAnsi="Arial" w:cs="Arial"/>
          <w:color w:val="201F1E"/>
          <w:sz w:val="24"/>
          <w:szCs w:val="24"/>
          <w:lang w:val="en-US" w:eastAsia="it-IT"/>
        </w:rPr>
        <w:t>The Project aims to identify the most effective tools for supporting three forest ecosystem services:</w:t>
      </w:r>
    </w:p>
    <w:p w14:paraId="5863155F" w14:textId="77777777" w:rsidR="00BA33F6" w:rsidRPr="001A36D2" w:rsidRDefault="00BA33F6" w:rsidP="00BA33F6">
      <w:pPr>
        <w:shd w:val="clear" w:color="auto" w:fill="FFFFFF"/>
        <w:ind w:right="45"/>
        <w:jc w:val="both"/>
        <w:rPr>
          <w:rFonts w:ascii="Arial" w:eastAsia="Times New Roman" w:hAnsi="Arial" w:cs="Arial"/>
          <w:color w:val="201F1E"/>
          <w:sz w:val="24"/>
          <w:szCs w:val="24"/>
          <w:lang w:val="en-US" w:eastAsia="it-IT"/>
        </w:rPr>
      </w:pPr>
    </w:p>
    <w:p w14:paraId="6C37CE6D" w14:textId="77777777" w:rsidR="00BA33F6" w:rsidRPr="001A36D2" w:rsidRDefault="00BA33F6" w:rsidP="00BA33F6">
      <w:pPr>
        <w:pStyle w:val="Paragrafoelenco"/>
        <w:widowControl/>
        <w:numPr>
          <w:ilvl w:val="0"/>
          <w:numId w:val="53"/>
        </w:numPr>
        <w:shd w:val="clear" w:color="auto" w:fill="FFFFFF"/>
        <w:autoSpaceDE/>
        <w:autoSpaceDN/>
        <w:ind w:left="284" w:right="45"/>
        <w:contextualSpacing/>
        <w:jc w:val="both"/>
        <w:rPr>
          <w:rFonts w:ascii="Arial" w:eastAsia="Times New Roman" w:hAnsi="Arial" w:cs="Arial"/>
          <w:color w:val="201F1E"/>
          <w:sz w:val="24"/>
          <w:szCs w:val="24"/>
          <w:lang w:val="en-US" w:eastAsia="it-IT"/>
        </w:rPr>
      </w:pPr>
      <w:r w:rsidRPr="001A36D2">
        <w:rPr>
          <w:rFonts w:ascii="Arial" w:eastAsia="Times New Roman" w:hAnsi="Arial" w:cs="Arial"/>
          <w:b/>
          <w:color w:val="201F1E"/>
          <w:sz w:val="24"/>
          <w:szCs w:val="24"/>
          <w:lang w:val="en-US" w:eastAsia="it-IT"/>
        </w:rPr>
        <w:t>Regulative function</w:t>
      </w:r>
      <w:r w:rsidRPr="001A36D2">
        <w:rPr>
          <w:rFonts w:ascii="Arial" w:eastAsia="Times New Roman" w:hAnsi="Arial" w:cs="Arial"/>
          <w:color w:val="201F1E"/>
          <w:sz w:val="24"/>
          <w:szCs w:val="24"/>
          <w:lang w:val="en-US" w:eastAsia="it-IT"/>
        </w:rPr>
        <w:t xml:space="preserve">: development of sustainable forest management aimed at increasing the capacity to store GHG gas and prevent possible damage caused by fires and </w:t>
      </w:r>
      <w:proofErr w:type="gramStart"/>
      <w:r w:rsidRPr="001A36D2">
        <w:rPr>
          <w:rFonts w:ascii="Arial" w:eastAsia="Times New Roman" w:hAnsi="Arial" w:cs="Arial"/>
          <w:color w:val="201F1E"/>
          <w:sz w:val="24"/>
          <w:szCs w:val="24"/>
          <w:lang w:val="en-US" w:eastAsia="it-IT"/>
        </w:rPr>
        <w:t>disturbances;</w:t>
      </w:r>
      <w:proofErr w:type="gramEnd"/>
    </w:p>
    <w:p w14:paraId="33F72189" w14:textId="77777777" w:rsidR="00BA33F6" w:rsidRPr="001A36D2" w:rsidRDefault="00BA33F6" w:rsidP="00BA33F6">
      <w:pPr>
        <w:pStyle w:val="Paragrafoelenco"/>
        <w:widowControl/>
        <w:numPr>
          <w:ilvl w:val="0"/>
          <w:numId w:val="53"/>
        </w:numPr>
        <w:shd w:val="clear" w:color="auto" w:fill="FFFFFF"/>
        <w:autoSpaceDE/>
        <w:autoSpaceDN/>
        <w:ind w:left="284" w:right="45"/>
        <w:contextualSpacing/>
        <w:jc w:val="both"/>
        <w:rPr>
          <w:rFonts w:ascii="Arial" w:eastAsia="Times New Roman" w:hAnsi="Arial" w:cs="Arial"/>
          <w:color w:val="201F1E"/>
          <w:sz w:val="24"/>
          <w:szCs w:val="24"/>
          <w:lang w:val="en-US" w:eastAsia="it-IT"/>
        </w:rPr>
      </w:pPr>
      <w:r w:rsidRPr="001A36D2">
        <w:rPr>
          <w:rFonts w:ascii="Arial" w:eastAsia="Times New Roman" w:hAnsi="Arial" w:cs="Arial"/>
          <w:b/>
          <w:color w:val="201F1E"/>
          <w:sz w:val="24"/>
          <w:szCs w:val="24"/>
          <w:lang w:val="en-US" w:eastAsia="it-IT"/>
        </w:rPr>
        <w:t>Supply Function:</w:t>
      </w:r>
      <w:r w:rsidRPr="001A36D2">
        <w:rPr>
          <w:rFonts w:ascii="Arial" w:eastAsia="Times New Roman" w:hAnsi="Arial" w:cs="Arial"/>
          <w:color w:val="201F1E"/>
          <w:sz w:val="24"/>
          <w:szCs w:val="24"/>
          <w:lang w:val="en-US" w:eastAsia="it-IT"/>
        </w:rPr>
        <w:t xml:space="preserve"> improvement of the environmental footprint of the forest-wood supply </w:t>
      </w:r>
      <w:proofErr w:type="gramStart"/>
      <w:r w:rsidRPr="001A36D2">
        <w:rPr>
          <w:rFonts w:ascii="Arial" w:eastAsia="Times New Roman" w:hAnsi="Arial" w:cs="Arial"/>
          <w:color w:val="201F1E"/>
          <w:sz w:val="24"/>
          <w:szCs w:val="24"/>
          <w:lang w:val="en-US" w:eastAsia="it-IT"/>
        </w:rPr>
        <w:t>chains;</w:t>
      </w:r>
      <w:proofErr w:type="gramEnd"/>
    </w:p>
    <w:p w14:paraId="2ACE5B03" w14:textId="77777777" w:rsidR="00BA33F6" w:rsidRPr="001A36D2" w:rsidRDefault="00BA33F6" w:rsidP="00BA33F6">
      <w:pPr>
        <w:pStyle w:val="Paragrafoelenco"/>
        <w:widowControl/>
        <w:numPr>
          <w:ilvl w:val="0"/>
          <w:numId w:val="53"/>
        </w:numPr>
        <w:shd w:val="clear" w:color="auto" w:fill="FFFFFF"/>
        <w:autoSpaceDE/>
        <w:autoSpaceDN/>
        <w:ind w:left="284" w:right="45"/>
        <w:contextualSpacing/>
        <w:jc w:val="both"/>
        <w:rPr>
          <w:rFonts w:ascii="Arial" w:eastAsia="Times New Roman" w:hAnsi="Arial" w:cs="Arial"/>
          <w:color w:val="201F1E"/>
          <w:sz w:val="24"/>
          <w:szCs w:val="24"/>
          <w:lang w:val="en-US" w:eastAsia="it-IT"/>
        </w:rPr>
      </w:pPr>
      <w:r w:rsidRPr="001A36D2">
        <w:rPr>
          <w:rFonts w:ascii="Arial" w:eastAsia="Times New Roman" w:hAnsi="Arial" w:cs="Arial"/>
          <w:b/>
          <w:color w:val="201F1E"/>
          <w:sz w:val="24"/>
          <w:szCs w:val="24"/>
          <w:lang w:val="en-US" w:eastAsia="it-IT"/>
        </w:rPr>
        <w:t>Cultural Function:</w:t>
      </w:r>
      <w:r w:rsidRPr="001A36D2">
        <w:rPr>
          <w:rFonts w:ascii="Arial" w:eastAsia="Times New Roman" w:hAnsi="Arial" w:cs="Arial"/>
          <w:color w:val="201F1E"/>
          <w:sz w:val="24"/>
          <w:szCs w:val="24"/>
          <w:lang w:val="en-US" w:eastAsia="it-IT"/>
        </w:rPr>
        <w:t xml:space="preserve"> evaluation of the environmental and socio-economic impacts of tourism for mushroom hunters.</w:t>
      </w:r>
    </w:p>
    <w:p w14:paraId="49865E8D" w14:textId="77777777" w:rsidR="00BA33F6" w:rsidRPr="001A36D2" w:rsidRDefault="00BA33F6" w:rsidP="00BA33F6">
      <w:pPr>
        <w:shd w:val="clear" w:color="auto" w:fill="FFFFFF"/>
        <w:ind w:right="45"/>
        <w:jc w:val="both"/>
        <w:rPr>
          <w:rFonts w:ascii="Arial" w:eastAsia="Times New Roman" w:hAnsi="Arial" w:cs="Arial"/>
          <w:color w:val="201F1E"/>
          <w:sz w:val="24"/>
          <w:szCs w:val="24"/>
          <w:lang w:val="en-US" w:eastAsia="it-IT"/>
        </w:rPr>
      </w:pPr>
      <w:r w:rsidRPr="001A36D2">
        <w:rPr>
          <w:rFonts w:ascii="Arial" w:eastAsia="Times New Roman" w:hAnsi="Arial" w:cs="Arial"/>
          <w:color w:val="201F1E"/>
          <w:sz w:val="24"/>
          <w:szCs w:val="24"/>
          <w:bdr w:val="none" w:sz="0" w:space="0" w:color="auto" w:frame="1"/>
          <w:lang w:val="en-US" w:eastAsia="it-IT"/>
        </w:rPr>
        <w:t> </w:t>
      </w:r>
    </w:p>
    <w:p w14:paraId="42E6269B" w14:textId="77777777" w:rsidR="00BA33F6" w:rsidRPr="001A36D2" w:rsidRDefault="00BA33F6" w:rsidP="00BA33F6">
      <w:pPr>
        <w:shd w:val="clear" w:color="auto" w:fill="FFFFFF"/>
        <w:ind w:right="45" w:firstLine="567"/>
        <w:jc w:val="both"/>
        <w:rPr>
          <w:rFonts w:ascii="Arial" w:eastAsia="Times New Roman" w:hAnsi="Arial" w:cs="Arial"/>
          <w:color w:val="201F1E"/>
          <w:sz w:val="24"/>
          <w:szCs w:val="24"/>
          <w:lang w:val="en-US" w:eastAsia="it-IT"/>
        </w:rPr>
      </w:pPr>
      <w:r w:rsidRPr="001A36D2">
        <w:rPr>
          <w:rFonts w:ascii="Arial" w:eastAsia="Times New Roman" w:hAnsi="Arial" w:cs="Arial"/>
          <w:color w:val="201F1E"/>
          <w:sz w:val="24"/>
          <w:szCs w:val="24"/>
          <w:lang w:val="en-US" w:eastAsia="it-IT"/>
        </w:rPr>
        <w:t xml:space="preserve">The project activities aim at defining the technical intervention tools and the monitoring methods to evaluate the tools’ effectiveness; these activities also aim at providing the means for the economic sustainability of these intervention tools. The project conceives the means for guaranteeing the economic sustainability as </w:t>
      </w:r>
      <w:r w:rsidRPr="001A36D2">
        <w:rPr>
          <w:rFonts w:ascii="Arial" w:eastAsia="Times New Roman" w:hAnsi="Arial" w:cs="Arial"/>
          <w:i/>
          <w:color w:val="201F1E"/>
          <w:sz w:val="24"/>
          <w:szCs w:val="24"/>
          <w:lang w:val="en-US" w:eastAsia="it-IT"/>
        </w:rPr>
        <w:t>ecosystem credits or sustainable credits</w:t>
      </w:r>
      <w:r w:rsidRPr="001A36D2">
        <w:rPr>
          <w:rFonts w:ascii="Arial" w:eastAsia="Times New Roman" w:hAnsi="Arial" w:cs="Arial"/>
          <w:color w:val="201F1E"/>
          <w:sz w:val="24"/>
          <w:szCs w:val="24"/>
          <w:lang w:val="en-US" w:eastAsia="it-IT"/>
        </w:rPr>
        <w:t xml:space="preserve">, which are </w:t>
      </w:r>
      <w:proofErr w:type="gramStart"/>
      <w:r w:rsidRPr="001A36D2">
        <w:rPr>
          <w:rFonts w:ascii="Arial" w:eastAsia="Times New Roman" w:hAnsi="Arial" w:cs="Arial"/>
          <w:color w:val="201F1E"/>
          <w:sz w:val="24"/>
          <w:szCs w:val="24"/>
          <w:lang w:val="en-US" w:eastAsia="it-IT"/>
        </w:rPr>
        <w:t>similar to</w:t>
      </w:r>
      <w:proofErr w:type="gramEnd"/>
      <w:r w:rsidRPr="001A36D2">
        <w:rPr>
          <w:rFonts w:ascii="Arial" w:eastAsia="Times New Roman" w:hAnsi="Arial" w:cs="Arial"/>
          <w:color w:val="201F1E"/>
          <w:sz w:val="24"/>
          <w:szCs w:val="24"/>
          <w:lang w:val="en-US" w:eastAsia="it-IT"/>
        </w:rPr>
        <w:t xml:space="preserve"> carbon credits, albeit with a broader and more complex connotation.</w:t>
      </w:r>
    </w:p>
    <w:p w14:paraId="1263EAEB" w14:textId="77777777" w:rsidR="00BA33F6" w:rsidRPr="001A36D2" w:rsidRDefault="00BA33F6" w:rsidP="00BA33F6">
      <w:pPr>
        <w:shd w:val="clear" w:color="auto" w:fill="FFFFFF"/>
        <w:ind w:right="45" w:firstLine="567"/>
        <w:jc w:val="both"/>
        <w:rPr>
          <w:rFonts w:ascii="Arial" w:eastAsia="Times New Roman" w:hAnsi="Arial" w:cs="Arial"/>
          <w:color w:val="201F1E"/>
          <w:sz w:val="24"/>
          <w:szCs w:val="24"/>
          <w:lang w:val="en-US" w:eastAsia="it-IT"/>
        </w:rPr>
      </w:pPr>
    </w:p>
    <w:p w14:paraId="1E37EE59" w14:textId="77777777" w:rsidR="00BA33F6" w:rsidRPr="001A36D2" w:rsidRDefault="00BA33F6" w:rsidP="00BA33F6">
      <w:pPr>
        <w:shd w:val="clear" w:color="auto" w:fill="FFFFFF"/>
        <w:ind w:right="45" w:firstLine="567"/>
        <w:jc w:val="both"/>
        <w:rPr>
          <w:rFonts w:ascii="Arial" w:eastAsia="Times New Roman" w:hAnsi="Arial" w:cs="Arial"/>
          <w:color w:val="201F1E"/>
          <w:sz w:val="24"/>
          <w:szCs w:val="24"/>
          <w:lang w:val="en-US" w:eastAsia="it-IT"/>
        </w:rPr>
      </w:pPr>
      <w:r w:rsidRPr="001A36D2">
        <w:rPr>
          <w:rFonts w:ascii="Arial" w:eastAsia="Times New Roman" w:hAnsi="Arial" w:cs="Arial"/>
          <w:color w:val="201F1E"/>
          <w:sz w:val="24"/>
          <w:szCs w:val="24"/>
          <w:lang w:val="en-US" w:eastAsia="it-IT"/>
        </w:rPr>
        <w:t xml:space="preserve">The purpose of this document is to </w:t>
      </w:r>
      <w:proofErr w:type="spellStart"/>
      <w:r w:rsidRPr="001A36D2">
        <w:rPr>
          <w:rFonts w:ascii="Arial" w:eastAsia="Times New Roman" w:hAnsi="Arial" w:cs="Arial"/>
          <w:color w:val="201F1E"/>
          <w:sz w:val="24"/>
          <w:szCs w:val="24"/>
          <w:lang w:val="en-US" w:eastAsia="it-IT"/>
        </w:rPr>
        <w:t>analyse</w:t>
      </w:r>
      <w:proofErr w:type="spellEnd"/>
      <w:r w:rsidRPr="001A36D2">
        <w:rPr>
          <w:rFonts w:ascii="Arial" w:eastAsia="Times New Roman" w:hAnsi="Arial" w:cs="Arial"/>
          <w:color w:val="201F1E"/>
          <w:sz w:val="24"/>
          <w:szCs w:val="24"/>
          <w:lang w:val="en-US" w:eastAsia="it-IT"/>
        </w:rPr>
        <w:t xml:space="preserve"> the European and national legislation for the development of this type of credit. The EU ETS market is the first scheme to be </w:t>
      </w:r>
      <w:proofErr w:type="gramStart"/>
      <w:r w:rsidRPr="001A36D2">
        <w:rPr>
          <w:rFonts w:ascii="Arial" w:eastAsia="Times New Roman" w:hAnsi="Arial" w:cs="Arial"/>
          <w:color w:val="201F1E"/>
          <w:sz w:val="24"/>
          <w:szCs w:val="24"/>
          <w:lang w:val="en-US" w:eastAsia="it-IT"/>
        </w:rPr>
        <w:t>considered, since</w:t>
      </w:r>
      <w:proofErr w:type="gramEnd"/>
      <w:r w:rsidRPr="001A36D2">
        <w:rPr>
          <w:rFonts w:ascii="Arial" w:eastAsia="Times New Roman" w:hAnsi="Arial" w:cs="Arial"/>
          <w:color w:val="201F1E"/>
          <w:sz w:val="24"/>
          <w:szCs w:val="24"/>
          <w:lang w:val="en-US" w:eastAsia="it-IT"/>
        </w:rPr>
        <w:t xml:space="preserve"> we are dealing with potential carbon offsets of companies. Another regulatory reference is the so-called LULUCF, that regulates activities that contribute to the management of GHG gas emissions in Regulation 525/2013.</w:t>
      </w:r>
    </w:p>
    <w:p w14:paraId="62BF8FEA" w14:textId="77777777" w:rsidR="00BA33F6" w:rsidRPr="001A36D2" w:rsidRDefault="00BA33F6" w:rsidP="00BA33F6">
      <w:pPr>
        <w:shd w:val="clear" w:color="auto" w:fill="FFFFFF"/>
        <w:ind w:right="45" w:firstLine="567"/>
        <w:jc w:val="both"/>
        <w:rPr>
          <w:rFonts w:ascii="Arial" w:eastAsia="Times New Roman" w:hAnsi="Arial" w:cs="Arial"/>
          <w:color w:val="201F1E"/>
          <w:sz w:val="24"/>
          <w:szCs w:val="24"/>
          <w:lang w:val="en-US" w:eastAsia="it-IT"/>
        </w:rPr>
      </w:pPr>
    </w:p>
    <w:p w14:paraId="6A00FE10" w14:textId="77777777" w:rsidR="00BA33F6" w:rsidRPr="001A36D2" w:rsidRDefault="00BA33F6" w:rsidP="00BA33F6">
      <w:pPr>
        <w:shd w:val="clear" w:color="auto" w:fill="FFFFFF"/>
        <w:ind w:right="45" w:firstLine="567"/>
        <w:jc w:val="both"/>
        <w:rPr>
          <w:rFonts w:ascii="Arial" w:eastAsia="Times New Roman" w:hAnsi="Arial" w:cs="Arial"/>
          <w:color w:val="201F1E"/>
          <w:sz w:val="24"/>
          <w:szCs w:val="24"/>
          <w:lang w:val="en-US" w:eastAsia="it-IT"/>
        </w:rPr>
      </w:pPr>
      <w:r w:rsidRPr="001A36D2">
        <w:rPr>
          <w:rFonts w:ascii="Arial" w:eastAsia="Times New Roman" w:hAnsi="Arial" w:cs="Arial"/>
          <w:color w:val="201F1E"/>
          <w:sz w:val="24"/>
          <w:szCs w:val="24"/>
          <w:lang w:val="en-US" w:eastAsia="it-IT"/>
        </w:rPr>
        <w:t xml:space="preserve">In addition to the aforementioned regulations, we also </w:t>
      </w:r>
      <w:r w:rsidRPr="001A36D2">
        <w:rPr>
          <w:rFonts w:ascii="Arial" w:eastAsia="Times New Roman" w:hAnsi="Arial" w:cs="Arial"/>
          <w:color w:val="201F1E"/>
          <w:sz w:val="24"/>
          <w:szCs w:val="24"/>
          <w:lang w:val="en-GB" w:eastAsia="it-IT"/>
        </w:rPr>
        <w:t>analysed</w:t>
      </w:r>
      <w:r w:rsidRPr="001A36D2">
        <w:rPr>
          <w:rFonts w:ascii="Arial" w:eastAsia="Times New Roman" w:hAnsi="Arial" w:cs="Arial"/>
          <w:color w:val="201F1E"/>
          <w:sz w:val="24"/>
          <w:szCs w:val="24"/>
          <w:lang w:val="en-US" w:eastAsia="it-IT"/>
        </w:rPr>
        <w:t xml:space="preserve"> Regulation 842/2018, which defines the objectives of the EU on the binding reduction of emissions (set at 40% by 2030 through this Regulation) for each individual MS, dividing them between the ETS and the ESR sectors, to honor the Paris Agreement. The key objective of Regulation 2018/842 is to establish a </w:t>
      </w:r>
      <w:r w:rsidRPr="001A36D2">
        <w:rPr>
          <w:rFonts w:ascii="Arial" w:eastAsia="Times New Roman" w:hAnsi="Arial" w:cs="Arial"/>
          <w:i/>
          <w:color w:val="201F1E"/>
          <w:sz w:val="24"/>
          <w:szCs w:val="24"/>
          <w:lang w:val="en-US" w:eastAsia="it-IT"/>
        </w:rPr>
        <w:t>market for CO</w:t>
      </w:r>
      <w:r w:rsidRPr="001A36D2">
        <w:rPr>
          <w:rFonts w:ascii="Arial" w:eastAsia="Times New Roman" w:hAnsi="Arial" w:cs="Arial"/>
          <w:i/>
          <w:color w:val="201F1E"/>
          <w:sz w:val="24"/>
          <w:szCs w:val="24"/>
          <w:vertAlign w:val="superscript"/>
          <w:lang w:val="en-US" w:eastAsia="it-IT"/>
        </w:rPr>
        <w:t xml:space="preserve">2 </w:t>
      </w:r>
      <w:r w:rsidRPr="001A36D2">
        <w:rPr>
          <w:rFonts w:ascii="Arial" w:eastAsia="Times New Roman" w:hAnsi="Arial" w:cs="Arial"/>
          <w:i/>
          <w:color w:val="201F1E"/>
          <w:sz w:val="24"/>
          <w:szCs w:val="24"/>
          <w:lang w:val="en-US" w:eastAsia="it-IT"/>
        </w:rPr>
        <w:t>quotas among EU Member States</w:t>
      </w:r>
      <w:r w:rsidRPr="001A36D2">
        <w:rPr>
          <w:rFonts w:ascii="Arial" w:eastAsia="Times New Roman" w:hAnsi="Arial" w:cs="Arial"/>
          <w:color w:val="201F1E"/>
          <w:sz w:val="24"/>
          <w:szCs w:val="24"/>
          <w:lang w:val="en-US" w:eastAsia="it-IT"/>
        </w:rPr>
        <w:t>.</w:t>
      </w:r>
    </w:p>
    <w:p w14:paraId="431FA7E5" w14:textId="77777777" w:rsidR="00BA33F6" w:rsidRPr="001A36D2" w:rsidRDefault="00BA33F6" w:rsidP="00BA33F6">
      <w:pPr>
        <w:shd w:val="clear" w:color="auto" w:fill="FFFFFF"/>
        <w:ind w:right="45" w:firstLine="567"/>
        <w:jc w:val="both"/>
        <w:rPr>
          <w:rFonts w:ascii="Arial" w:eastAsia="Times New Roman" w:hAnsi="Arial" w:cs="Arial"/>
          <w:color w:val="201F1E"/>
          <w:sz w:val="24"/>
          <w:szCs w:val="24"/>
          <w:lang w:val="en-US" w:eastAsia="it-IT"/>
        </w:rPr>
      </w:pPr>
    </w:p>
    <w:p w14:paraId="3078CE3D" w14:textId="77777777" w:rsidR="00BA33F6" w:rsidRPr="001A36D2" w:rsidRDefault="00BA33F6" w:rsidP="00BA33F6">
      <w:pPr>
        <w:shd w:val="clear" w:color="auto" w:fill="FFFFFF"/>
        <w:ind w:right="45" w:firstLine="567"/>
        <w:jc w:val="both"/>
        <w:rPr>
          <w:rFonts w:ascii="Arial" w:eastAsia="Times New Roman" w:hAnsi="Arial" w:cs="Arial"/>
          <w:color w:val="201F1E"/>
          <w:sz w:val="24"/>
          <w:szCs w:val="24"/>
          <w:lang w:val="en-US" w:eastAsia="it-IT"/>
        </w:rPr>
      </w:pPr>
      <w:r w:rsidRPr="001A36D2">
        <w:rPr>
          <w:rFonts w:ascii="Arial" w:eastAsia="Times New Roman" w:hAnsi="Arial" w:cs="Arial"/>
          <w:color w:val="201F1E"/>
          <w:sz w:val="24"/>
          <w:szCs w:val="24"/>
          <w:lang w:val="en-US" w:eastAsia="it-IT"/>
        </w:rPr>
        <w:t>At the national level, the management and payment of ecosystem services (including those on CO</w:t>
      </w:r>
      <w:r w:rsidRPr="001A36D2">
        <w:rPr>
          <w:rFonts w:ascii="Arial" w:eastAsia="Times New Roman" w:hAnsi="Arial" w:cs="Arial"/>
          <w:color w:val="201F1E"/>
          <w:sz w:val="24"/>
          <w:szCs w:val="24"/>
          <w:vertAlign w:val="superscript"/>
          <w:lang w:val="en-US" w:eastAsia="it-IT"/>
        </w:rPr>
        <w:t>2</w:t>
      </w:r>
      <w:r w:rsidRPr="001A36D2">
        <w:rPr>
          <w:rFonts w:ascii="Arial" w:eastAsia="Times New Roman" w:hAnsi="Arial" w:cs="Arial"/>
          <w:color w:val="201F1E"/>
          <w:sz w:val="24"/>
          <w:szCs w:val="24"/>
          <w:lang w:val="en-US" w:eastAsia="it-IT"/>
        </w:rPr>
        <w:t>) is established for the first time by law 221/2015 “</w:t>
      </w:r>
      <w:proofErr w:type="spellStart"/>
      <w:r w:rsidRPr="001A36D2">
        <w:rPr>
          <w:rFonts w:ascii="Arial" w:eastAsia="Times New Roman" w:hAnsi="Arial" w:cs="Arial"/>
          <w:color w:val="201F1E"/>
          <w:sz w:val="24"/>
          <w:szCs w:val="24"/>
          <w:lang w:val="en-US" w:eastAsia="it-IT"/>
        </w:rPr>
        <w:t>Disposizioni</w:t>
      </w:r>
      <w:proofErr w:type="spellEnd"/>
      <w:r w:rsidRPr="001A36D2">
        <w:rPr>
          <w:rFonts w:ascii="Arial" w:eastAsia="Times New Roman" w:hAnsi="Arial" w:cs="Arial"/>
          <w:color w:val="201F1E"/>
          <w:sz w:val="24"/>
          <w:szCs w:val="24"/>
          <w:lang w:val="en-US" w:eastAsia="it-IT"/>
        </w:rPr>
        <w:t xml:space="preserve"> in </w:t>
      </w:r>
      <w:proofErr w:type="spellStart"/>
      <w:r w:rsidRPr="001A36D2">
        <w:rPr>
          <w:rFonts w:ascii="Arial" w:eastAsia="Times New Roman" w:hAnsi="Arial" w:cs="Arial"/>
          <w:color w:val="201F1E"/>
          <w:sz w:val="24"/>
          <w:szCs w:val="24"/>
          <w:lang w:val="en-US" w:eastAsia="it-IT"/>
        </w:rPr>
        <w:t>materia</w:t>
      </w:r>
      <w:proofErr w:type="spellEnd"/>
      <w:r w:rsidRPr="001A36D2">
        <w:rPr>
          <w:rFonts w:ascii="Arial" w:eastAsia="Times New Roman" w:hAnsi="Arial" w:cs="Arial"/>
          <w:color w:val="201F1E"/>
          <w:sz w:val="24"/>
          <w:szCs w:val="24"/>
          <w:lang w:val="en-US" w:eastAsia="it-IT"/>
        </w:rPr>
        <w:t xml:space="preserve"> </w:t>
      </w:r>
      <w:proofErr w:type="spellStart"/>
      <w:r w:rsidRPr="001A36D2">
        <w:rPr>
          <w:rFonts w:ascii="Arial" w:eastAsia="Times New Roman" w:hAnsi="Arial" w:cs="Arial"/>
          <w:color w:val="201F1E"/>
          <w:sz w:val="24"/>
          <w:szCs w:val="24"/>
          <w:lang w:val="en-US" w:eastAsia="it-IT"/>
        </w:rPr>
        <w:t>ambientale</w:t>
      </w:r>
      <w:proofErr w:type="spellEnd"/>
      <w:r w:rsidRPr="001A36D2">
        <w:rPr>
          <w:rFonts w:ascii="Arial" w:eastAsia="Times New Roman" w:hAnsi="Arial" w:cs="Arial"/>
          <w:color w:val="201F1E"/>
          <w:sz w:val="24"/>
          <w:szCs w:val="24"/>
          <w:lang w:val="en-US" w:eastAsia="it-IT"/>
        </w:rPr>
        <w:t xml:space="preserve"> per </w:t>
      </w:r>
      <w:proofErr w:type="spellStart"/>
      <w:r w:rsidRPr="001A36D2">
        <w:rPr>
          <w:rFonts w:ascii="Arial" w:eastAsia="Times New Roman" w:hAnsi="Arial" w:cs="Arial"/>
          <w:color w:val="201F1E"/>
          <w:sz w:val="24"/>
          <w:szCs w:val="24"/>
          <w:lang w:val="en-US" w:eastAsia="it-IT"/>
        </w:rPr>
        <w:t>promuovere</w:t>
      </w:r>
      <w:proofErr w:type="spellEnd"/>
      <w:r w:rsidRPr="001A36D2">
        <w:rPr>
          <w:rFonts w:ascii="Arial" w:eastAsia="Times New Roman" w:hAnsi="Arial" w:cs="Arial"/>
          <w:color w:val="201F1E"/>
          <w:sz w:val="24"/>
          <w:szCs w:val="24"/>
          <w:lang w:val="en-US" w:eastAsia="it-IT"/>
        </w:rPr>
        <w:t xml:space="preserve"> </w:t>
      </w:r>
      <w:proofErr w:type="spellStart"/>
      <w:r w:rsidRPr="001A36D2">
        <w:rPr>
          <w:rFonts w:ascii="Arial" w:eastAsia="Times New Roman" w:hAnsi="Arial" w:cs="Arial"/>
          <w:color w:val="201F1E"/>
          <w:sz w:val="24"/>
          <w:szCs w:val="24"/>
          <w:lang w:val="en-US" w:eastAsia="it-IT"/>
        </w:rPr>
        <w:t>misure</w:t>
      </w:r>
      <w:proofErr w:type="spellEnd"/>
      <w:r w:rsidRPr="001A36D2">
        <w:rPr>
          <w:rFonts w:ascii="Arial" w:eastAsia="Times New Roman" w:hAnsi="Arial" w:cs="Arial"/>
          <w:color w:val="201F1E"/>
          <w:sz w:val="24"/>
          <w:szCs w:val="24"/>
          <w:lang w:val="en-US" w:eastAsia="it-IT"/>
        </w:rPr>
        <w:t xml:space="preserve"> di green economy e per il </w:t>
      </w:r>
      <w:proofErr w:type="spellStart"/>
      <w:r w:rsidRPr="001A36D2">
        <w:rPr>
          <w:rFonts w:ascii="Arial" w:eastAsia="Times New Roman" w:hAnsi="Arial" w:cs="Arial"/>
          <w:color w:val="201F1E"/>
          <w:sz w:val="24"/>
          <w:szCs w:val="24"/>
          <w:lang w:val="en-US" w:eastAsia="it-IT"/>
        </w:rPr>
        <w:t>contenimento</w:t>
      </w:r>
      <w:proofErr w:type="spellEnd"/>
      <w:r w:rsidRPr="001A36D2">
        <w:rPr>
          <w:rFonts w:ascii="Arial" w:eastAsia="Times New Roman" w:hAnsi="Arial" w:cs="Arial"/>
          <w:color w:val="201F1E"/>
          <w:sz w:val="24"/>
          <w:szCs w:val="24"/>
          <w:lang w:val="en-US" w:eastAsia="it-IT"/>
        </w:rPr>
        <w:t xml:space="preserve"> </w:t>
      </w:r>
      <w:proofErr w:type="spellStart"/>
      <w:r w:rsidRPr="001A36D2">
        <w:rPr>
          <w:rFonts w:ascii="Arial" w:eastAsia="Times New Roman" w:hAnsi="Arial" w:cs="Arial"/>
          <w:color w:val="201F1E"/>
          <w:sz w:val="24"/>
          <w:szCs w:val="24"/>
          <w:lang w:val="en-US" w:eastAsia="it-IT"/>
        </w:rPr>
        <w:t>dell'uso</w:t>
      </w:r>
      <w:proofErr w:type="spellEnd"/>
      <w:r w:rsidRPr="001A36D2">
        <w:rPr>
          <w:rFonts w:ascii="Arial" w:eastAsia="Times New Roman" w:hAnsi="Arial" w:cs="Arial"/>
          <w:color w:val="201F1E"/>
          <w:sz w:val="24"/>
          <w:szCs w:val="24"/>
          <w:lang w:val="en-US" w:eastAsia="it-IT"/>
        </w:rPr>
        <w:t xml:space="preserve"> </w:t>
      </w:r>
      <w:proofErr w:type="spellStart"/>
      <w:r w:rsidRPr="001A36D2">
        <w:rPr>
          <w:rFonts w:ascii="Arial" w:eastAsia="Times New Roman" w:hAnsi="Arial" w:cs="Arial"/>
          <w:color w:val="201F1E"/>
          <w:sz w:val="24"/>
          <w:szCs w:val="24"/>
          <w:lang w:val="en-US" w:eastAsia="it-IT"/>
        </w:rPr>
        <w:t>eccessivo</w:t>
      </w:r>
      <w:proofErr w:type="spellEnd"/>
      <w:r w:rsidRPr="001A36D2">
        <w:rPr>
          <w:rFonts w:ascii="Arial" w:eastAsia="Times New Roman" w:hAnsi="Arial" w:cs="Arial"/>
          <w:color w:val="201F1E"/>
          <w:sz w:val="24"/>
          <w:szCs w:val="24"/>
          <w:lang w:val="en-US" w:eastAsia="it-IT"/>
        </w:rPr>
        <w:t xml:space="preserve"> di </w:t>
      </w:r>
      <w:proofErr w:type="spellStart"/>
      <w:r w:rsidRPr="001A36D2">
        <w:rPr>
          <w:rFonts w:ascii="Arial" w:eastAsia="Times New Roman" w:hAnsi="Arial" w:cs="Arial"/>
          <w:color w:val="201F1E"/>
          <w:sz w:val="24"/>
          <w:szCs w:val="24"/>
          <w:lang w:val="en-US" w:eastAsia="it-IT"/>
        </w:rPr>
        <w:t>risorse</w:t>
      </w:r>
      <w:proofErr w:type="spellEnd"/>
      <w:r w:rsidRPr="001A36D2">
        <w:rPr>
          <w:rFonts w:ascii="Arial" w:eastAsia="Times New Roman" w:hAnsi="Arial" w:cs="Arial"/>
          <w:color w:val="201F1E"/>
          <w:sz w:val="24"/>
          <w:szCs w:val="24"/>
          <w:lang w:val="en-US" w:eastAsia="it-IT"/>
        </w:rPr>
        <w:t xml:space="preserve"> </w:t>
      </w:r>
      <w:proofErr w:type="spellStart"/>
      <w:r w:rsidRPr="001A36D2">
        <w:rPr>
          <w:rFonts w:ascii="Arial" w:eastAsia="Times New Roman" w:hAnsi="Arial" w:cs="Arial"/>
          <w:color w:val="201F1E"/>
          <w:sz w:val="24"/>
          <w:szCs w:val="24"/>
          <w:lang w:val="en-US" w:eastAsia="it-IT"/>
        </w:rPr>
        <w:t>naturali</w:t>
      </w:r>
      <w:proofErr w:type="spellEnd"/>
      <w:r w:rsidRPr="001A36D2">
        <w:rPr>
          <w:rFonts w:ascii="Arial" w:eastAsia="Times New Roman" w:hAnsi="Arial" w:cs="Arial"/>
          <w:color w:val="201F1E"/>
          <w:sz w:val="24"/>
          <w:szCs w:val="24"/>
          <w:lang w:val="en-US" w:eastAsia="it-IT"/>
        </w:rPr>
        <w:t xml:space="preserve">” (Environmental provisions to promote green economy measures and to limit the excessive use of natural resources), also known as </w:t>
      </w:r>
      <w:proofErr w:type="spellStart"/>
      <w:r w:rsidRPr="001A36D2">
        <w:rPr>
          <w:rFonts w:ascii="Arial" w:eastAsia="Times New Roman" w:hAnsi="Arial" w:cs="Arial"/>
          <w:i/>
          <w:color w:val="201F1E"/>
          <w:sz w:val="24"/>
          <w:szCs w:val="24"/>
          <w:lang w:val="en-US" w:eastAsia="it-IT"/>
        </w:rPr>
        <w:t>Collegato</w:t>
      </w:r>
      <w:proofErr w:type="spellEnd"/>
      <w:r w:rsidRPr="001A36D2">
        <w:rPr>
          <w:rFonts w:ascii="Arial" w:eastAsia="Times New Roman" w:hAnsi="Arial" w:cs="Arial"/>
          <w:i/>
          <w:color w:val="201F1E"/>
          <w:sz w:val="24"/>
          <w:szCs w:val="24"/>
          <w:lang w:val="en-US" w:eastAsia="it-IT"/>
        </w:rPr>
        <w:t xml:space="preserve"> </w:t>
      </w:r>
      <w:proofErr w:type="spellStart"/>
      <w:r w:rsidRPr="001A36D2">
        <w:rPr>
          <w:rFonts w:ascii="Arial" w:eastAsia="Times New Roman" w:hAnsi="Arial" w:cs="Arial"/>
          <w:i/>
          <w:color w:val="201F1E"/>
          <w:sz w:val="24"/>
          <w:szCs w:val="24"/>
          <w:lang w:val="en-US" w:eastAsia="it-IT"/>
        </w:rPr>
        <w:t>Ambientale</w:t>
      </w:r>
      <w:proofErr w:type="spellEnd"/>
      <w:r w:rsidRPr="001A36D2">
        <w:rPr>
          <w:rFonts w:ascii="Arial" w:eastAsia="Times New Roman" w:hAnsi="Arial" w:cs="Arial"/>
          <w:i/>
          <w:iCs/>
          <w:color w:val="201F1E"/>
          <w:sz w:val="24"/>
          <w:szCs w:val="24"/>
          <w:bdr w:val="none" w:sz="0" w:space="0" w:color="auto" w:frame="1"/>
          <w:lang w:val="en-US" w:eastAsia="it-IT"/>
        </w:rPr>
        <w:t xml:space="preserve">. </w:t>
      </w:r>
      <w:r w:rsidRPr="001A36D2">
        <w:rPr>
          <w:rFonts w:ascii="Arial" w:eastAsia="Times New Roman" w:hAnsi="Arial" w:cs="Arial"/>
          <w:color w:val="201F1E"/>
          <w:sz w:val="24"/>
          <w:szCs w:val="24"/>
          <w:lang w:val="en-US" w:eastAsia="it-IT"/>
        </w:rPr>
        <w:t>Art. 70 declares to “delegate the Government to introduce remuneration systems for ecosystem and environmental services”.</w:t>
      </w:r>
    </w:p>
    <w:p w14:paraId="258CD008" w14:textId="77777777" w:rsidR="00BA33F6" w:rsidRPr="001A36D2" w:rsidRDefault="00BA33F6" w:rsidP="00BA33F6">
      <w:pPr>
        <w:ind w:firstLine="567"/>
        <w:rPr>
          <w:rFonts w:ascii="Arial" w:hAnsi="Arial" w:cs="Arial"/>
          <w:sz w:val="24"/>
          <w:szCs w:val="24"/>
          <w:lang w:val="en-US"/>
        </w:rPr>
      </w:pPr>
      <w:r w:rsidRPr="001A36D2">
        <w:rPr>
          <w:rFonts w:ascii="Arial" w:hAnsi="Arial" w:cs="Arial"/>
          <w:sz w:val="24"/>
          <w:szCs w:val="24"/>
          <w:lang w:val="en-US"/>
        </w:rPr>
        <w:t xml:space="preserve">The most relevant national rule in this regard is D.L. n. 34 of 3 April 2018 “Testo </w:t>
      </w:r>
      <w:proofErr w:type="spellStart"/>
      <w:r w:rsidRPr="001A36D2">
        <w:rPr>
          <w:rFonts w:ascii="Arial" w:hAnsi="Arial" w:cs="Arial"/>
          <w:sz w:val="24"/>
          <w:szCs w:val="24"/>
          <w:lang w:val="en-US"/>
        </w:rPr>
        <w:t>unico</w:t>
      </w:r>
      <w:proofErr w:type="spellEnd"/>
      <w:r w:rsidRPr="001A36D2">
        <w:rPr>
          <w:rFonts w:ascii="Arial" w:hAnsi="Arial" w:cs="Arial"/>
          <w:sz w:val="24"/>
          <w:szCs w:val="24"/>
          <w:lang w:val="en-US"/>
        </w:rPr>
        <w:t xml:space="preserve"> in </w:t>
      </w:r>
      <w:proofErr w:type="spellStart"/>
      <w:r w:rsidRPr="001A36D2">
        <w:rPr>
          <w:rFonts w:ascii="Arial" w:hAnsi="Arial" w:cs="Arial"/>
          <w:sz w:val="24"/>
          <w:szCs w:val="24"/>
          <w:lang w:val="en-US"/>
        </w:rPr>
        <w:t>materia</w:t>
      </w:r>
      <w:proofErr w:type="spellEnd"/>
      <w:r w:rsidRPr="001A36D2">
        <w:rPr>
          <w:rFonts w:ascii="Arial" w:hAnsi="Arial" w:cs="Arial"/>
          <w:sz w:val="24"/>
          <w:szCs w:val="24"/>
          <w:lang w:val="en-US"/>
        </w:rPr>
        <w:t xml:space="preserve"> di </w:t>
      </w:r>
      <w:proofErr w:type="spellStart"/>
      <w:r w:rsidRPr="001A36D2">
        <w:rPr>
          <w:rFonts w:ascii="Arial" w:hAnsi="Arial" w:cs="Arial"/>
          <w:sz w:val="24"/>
          <w:szCs w:val="24"/>
          <w:lang w:val="en-US"/>
        </w:rPr>
        <w:t>foreste</w:t>
      </w:r>
      <w:proofErr w:type="spellEnd"/>
      <w:r w:rsidRPr="001A36D2">
        <w:rPr>
          <w:rFonts w:ascii="Arial" w:hAnsi="Arial" w:cs="Arial"/>
          <w:sz w:val="24"/>
          <w:szCs w:val="24"/>
          <w:lang w:val="en-US"/>
        </w:rPr>
        <w:t xml:space="preserve"> e </w:t>
      </w:r>
      <w:proofErr w:type="spellStart"/>
      <w:r w:rsidRPr="001A36D2">
        <w:rPr>
          <w:rFonts w:ascii="Arial" w:hAnsi="Arial" w:cs="Arial"/>
          <w:sz w:val="24"/>
          <w:szCs w:val="24"/>
          <w:lang w:val="en-US"/>
        </w:rPr>
        <w:t>filiere</w:t>
      </w:r>
      <w:proofErr w:type="spellEnd"/>
      <w:r w:rsidRPr="001A36D2">
        <w:rPr>
          <w:rFonts w:ascii="Arial" w:hAnsi="Arial" w:cs="Arial"/>
          <w:sz w:val="24"/>
          <w:szCs w:val="24"/>
          <w:lang w:val="en-US"/>
        </w:rPr>
        <w:t xml:space="preserve"> </w:t>
      </w:r>
      <w:proofErr w:type="spellStart"/>
      <w:r w:rsidRPr="001A36D2">
        <w:rPr>
          <w:rFonts w:ascii="Arial" w:hAnsi="Arial" w:cs="Arial"/>
          <w:sz w:val="24"/>
          <w:szCs w:val="24"/>
          <w:lang w:val="en-US"/>
        </w:rPr>
        <w:t>forestali</w:t>
      </w:r>
      <w:proofErr w:type="spellEnd"/>
      <w:r w:rsidRPr="001A36D2">
        <w:rPr>
          <w:rFonts w:ascii="Arial" w:hAnsi="Arial" w:cs="Arial"/>
          <w:sz w:val="24"/>
          <w:szCs w:val="24"/>
          <w:lang w:val="en-US"/>
        </w:rPr>
        <w:t>” – TUFF (Consolidated law on forests and forestry chains). The implementation tool of the TUFF is the National Forest Strategy (“</w:t>
      </w:r>
      <w:proofErr w:type="spellStart"/>
      <w:r w:rsidRPr="001A36D2">
        <w:rPr>
          <w:rFonts w:ascii="Arial" w:hAnsi="Arial" w:cs="Arial"/>
          <w:sz w:val="24"/>
          <w:szCs w:val="24"/>
          <w:lang w:val="en-US"/>
        </w:rPr>
        <w:t>Strategia</w:t>
      </w:r>
      <w:proofErr w:type="spellEnd"/>
      <w:r w:rsidRPr="001A36D2">
        <w:rPr>
          <w:rFonts w:ascii="Arial" w:hAnsi="Arial" w:cs="Arial"/>
          <w:sz w:val="24"/>
          <w:szCs w:val="24"/>
          <w:lang w:val="en-US"/>
        </w:rPr>
        <w:t xml:space="preserve"> </w:t>
      </w:r>
      <w:proofErr w:type="spellStart"/>
      <w:r w:rsidRPr="001A36D2">
        <w:rPr>
          <w:rFonts w:ascii="Arial" w:hAnsi="Arial" w:cs="Arial"/>
          <w:sz w:val="24"/>
          <w:szCs w:val="24"/>
          <w:lang w:val="en-US"/>
        </w:rPr>
        <w:t>Forestale</w:t>
      </w:r>
      <w:proofErr w:type="spellEnd"/>
      <w:r w:rsidRPr="001A36D2">
        <w:rPr>
          <w:rFonts w:ascii="Arial" w:hAnsi="Arial" w:cs="Arial"/>
          <w:sz w:val="24"/>
          <w:szCs w:val="24"/>
          <w:lang w:val="en-US"/>
        </w:rPr>
        <w:t xml:space="preserve"> Nazionale” - Regulations 841/2018 and 842/2018). The main objective of the NFS is to promote the integration of </w:t>
      </w:r>
      <w:r w:rsidRPr="001A36D2">
        <w:rPr>
          <w:rFonts w:ascii="Arial" w:hAnsi="Arial" w:cs="Arial"/>
          <w:b/>
          <w:sz w:val="24"/>
          <w:szCs w:val="24"/>
          <w:lang w:val="en-US"/>
        </w:rPr>
        <w:t>biodiversity conservation</w:t>
      </w:r>
      <w:r w:rsidRPr="001A36D2">
        <w:rPr>
          <w:rFonts w:ascii="Arial" w:hAnsi="Arial" w:cs="Arial"/>
          <w:sz w:val="24"/>
          <w:szCs w:val="24"/>
          <w:lang w:val="en-US"/>
        </w:rPr>
        <w:t xml:space="preserve">, </w:t>
      </w:r>
      <w:r w:rsidRPr="001A36D2">
        <w:rPr>
          <w:rFonts w:ascii="Arial" w:hAnsi="Arial" w:cs="Arial"/>
          <w:b/>
          <w:sz w:val="24"/>
          <w:szCs w:val="24"/>
          <w:lang w:val="en-US"/>
        </w:rPr>
        <w:t xml:space="preserve">Sustainable Forest </w:t>
      </w:r>
      <w:proofErr w:type="gramStart"/>
      <w:r w:rsidRPr="001A36D2">
        <w:rPr>
          <w:rFonts w:ascii="Arial" w:hAnsi="Arial" w:cs="Arial"/>
          <w:b/>
          <w:sz w:val="24"/>
          <w:szCs w:val="24"/>
          <w:lang w:val="en-US"/>
        </w:rPr>
        <w:t>Management</w:t>
      </w:r>
      <w:proofErr w:type="gramEnd"/>
      <w:r w:rsidRPr="001A36D2">
        <w:rPr>
          <w:rFonts w:ascii="Arial" w:hAnsi="Arial" w:cs="Arial"/>
          <w:sz w:val="24"/>
          <w:szCs w:val="24"/>
          <w:lang w:val="en-US"/>
        </w:rPr>
        <w:t xml:space="preserve"> and </w:t>
      </w:r>
      <w:r w:rsidRPr="001A36D2">
        <w:rPr>
          <w:rFonts w:ascii="Arial" w:hAnsi="Arial" w:cs="Arial"/>
          <w:b/>
          <w:sz w:val="24"/>
          <w:szCs w:val="24"/>
          <w:lang w:val="en-US"/>
        </w:rPr>
        <w:t xml:space="preserve">tangible and intangible Forest Ecosystem Services </w:t>
      </w:r>
      <w:r w:rsidRPr="001A36D2">
        <w:rPr>
          <w:rFonts w:ascii="Arial" w:hAnsi="Arial" w:cs="Arial"/>
          <w:sz w:val="24"/>
          <w:szCs w:val="24"/>
          <w:lang w:val="en-US"/>
        </w:rPr>
        <w:t xml:space="preserve">(page 13), highlighting that the </w:t>
      </w:r>
      <w:r w:rsidRPr="001A36D2">
        <w:rPr>
          <w:rFonts w:ascii="Arial" w:hAnsi="Arial" w:cs="Arial"/>
          <w:b/>
          <w:sz w:val="24"/>
          <w:szCs w:val="24"/>
          <w:lang w:val="en-US"/>
        </w:rPr>
        <w:t>general objectives</w:t>
      </w:r>
      <w:r w:rsidRPr="001A36D2">
        <w:rPr>
          <w:rFonts w:ascii="Arial" w:hAnsi="Arial" w:cs="Arial"/>
          <w:sz w:val="24"/>
          <w:szCs w:val="24"/>
          <w:lang w:val="en-US"/>
        </w:rPr>
        <w:t xml:space="preserve"> are primarily implemented through </w:t>
      </w:r>
      <w:r w:rsidRPr="001A36D2">
        <w:rPr>
          <w:rFonts w:ascii="Arial" w:hAnsi="Arial" w:cs="Arial"/>
          <w:b/>
          <w:sz w:val="24"/>
          <w:szCs w:val="24"/>
          <w:lang w:val="en-US"/>
        </w:rPr>
        <w:t xml:space="preserve">Regional Forest Programs </w:t>
      </w:r>
      <w:r w:rsidRPr="001A36D2">
        <w:rPr>
          <w:rFonts w:ascii="Arial" w:hAnsi="Arial" w:cs="Arial"/>
          <w:sz w:val="24"/>
          <w:szCs w:val="24"/>
          <w:lang w:val="en-US"/>
        </w:rPr>
        <w:t>[1].</w:t>
      </w:r>
    </w:p>
    <w:p w14:paraId="26157C87" w14:textId="77777777" w:rsidR="00BA33F6" w:rsidRPr="001A36D2" w:rsidRDefault="00BA33F6" w:rsidP="00BA33F6">
      <w:pPr>
        <w:ind w:firstLine="567"/>
        <w:rPr>
          <w:rFonts w:ascii="Arial" w:hAnsi="Arial" w:cs="Arial"/>
          <w:sz w:val="24"/>
          <w:szCs w:val="24"/>
          <w:lang w:val="en-US"/>
        </w:rPr>
      </w:pPr>
      <w:r w:rsidRPr="001A36D2">
        <w:rPr>
          <w:rFonts w:ascii="Arial" w:hAnsi="Arial" w:cs="Arial"/>
          <w:sz w:val="24"/>
          <w:szCs w:val="24"/>
          <w:lang w:val="en-US"/>
        </w:rPr>
        <w:t xml:space="preserve">At the regional level, the instruments of Sustainable Forest Management are the </w:t>
      </w:r>
      <w:r w:rsidRPr="001A36D2">
        <w:rPr>
          <w:rFonts w:ascii="Arial" w:hAnsi="Arial" w:cs="Arial"/>
          <w:sz w:val="24"/>
          <w:szCs w:val="24"/>
          <w:lang w:val="en-US"/>
        </w:rPr>
        <w:lastRenderedPageBreak/>
        <w:t>Regional Forest Plans. The most advanced regions in terms of forest management have recently embraced the Sustainable Forest Management, recognizing its connection with the climate, although only at the policy level.</w:t>
      </w:r>
    </w:p>
    <w:p w14:paraId="215714AC" w14:textId="77777777" w:rsidR="00BA33F6" w:rsidRPr="00A157C6" w:rsidRDefault="00BA33F6" w:rsidP="00BA33F6">
      <w:pPr>
        <w:rPr>
          <w:lang w:val="en-US"/>
        </w:rPr>
      </w:pPr>
    </w:p>
    <w:p w14:paraId="1A6C7D90" w14:textId="01D0ECFC" w:rsidR="006121CD" w:rsidRPr="00BA33F6" w:rsidRDefault="00BA33F6" w:rsidP="00BA33F6">
      <w:pPr>
        <w:pStyle w:val="Titolo1"/>
        <w:rPr>
          <w:lang w:val="en-GB"/>
        </w:rPr>
      </w:pPr>
      <w:proofErr w:type="spellStart"/>
      <w:r w:rsidRPr="00BA33F6">
        <w:rPr>
          <w:lang w:val="en-GB"/>
        </w:rPr>
        <w:t>Introduzione</w:t>
      </w:r>
      <w:proofErr w:type="spellEnd"/>
    </w:p>
    <w:p w14:paraId="47203545" w14:textId="77777777" w:rsidR="00BA33F6" w:rsidRPr="00BA33F6" w:rsidRDefault="00BA33F6" w:rsidP="002A4817">
      <w:pPr>
        <w:pStyle w:val="Corpotesto"/>
        <w:spacing w:before="104" w:line="237" w:lineRule="auto"/>
        <w:ind w:right="46"/>
        <w:jc w:val="both"/>
        <w:rPr>
          <w:rFonts w:ascii="Arial" w:hAnsi="Arial" w:cs="Arial"/>
          <w:sz w:val="24"/>
          <w:szCs w:val="24"/>
          <w:lang w:val="en-US"/>
        </w:rPr>
      </w:pPr>
    </w:p>
    <w:p w14:paraId="16C5816A" w14:textId="77777777" w:rsidR="000659BA" w:rsidRDefault="000659BA" w:rsidP="000659BA">
      <w:pPr>
        <w:pStyle w:val="Corpotesto"/>
        <w:ind w:right="45" w:firstLine="567"/>
        <w:jc w:val="both"/>
        <w:rPr>
          <w:rFonts w:ascii="Arial" w:hAnsi="Arial" w:cs="Arial"/>
          <w:sz w:val="24"/>
          <w:szCs w:val="24"/>
        </w:rPr>
      </w:pPr>
      <w:r>
        <w:rPr>
          <w:rFonts w:ascii="Arial" w:hAnsi="Arial" w:cs="Arial"/>
          <w:sz w:val="24"/>
          <w:szCs w:val="24"/>
        </w:rPr>
        <w:t>Il progetto ha lo scopo di individuare gli strumenti più efficaci per il supporto a tre funzioni ecosistemiche dei sistemi forestali:</w:t>
      </w:r>
    </w:p>
    <w:p w14:paraId="32028112" w14:textId="77777777" w:rsidR="000659BA" w:rsidRDefault="000659BA" w:rsidP="000659BA">
      <w:pPr>
        <w:pStyle w:val="Corpotesto"/>
        <w:ind w:right="45"/>
        <w:jc w:val="both"/>
        <w:rPr>
          <w:rFonts w:ascii="Arial" w:hAnsi="Arial" w:cs="Arial"/>
          <w:sz w:val="24"/>
          <w:szCs w:val="24"/>
        </w:rPr>
      </w:pPr>
    </w:p>
    <w:p w14:paraId="251E66E8" w14:textId="77777777" w:rsidR="000659BA" w:rsidRDefault="000659BA" w:rsidP="000659BA">
      <w:pPr>
        <w:pStyle w:val="Corpotesto"/>
        <w:numPr>
          <w:ilvl w:val="0"/>
          <w:numId w:val="2"/>
        </w:numPr>
        <w:ind w:right="45"/>
        <w:jc w:val="both"/>
        <w:rPr>
          <w:rFonts w:ascii="Arial" w:hAnsi="Arial" w:cs="Arial"/>
          <w:sz w:val="24"/>
          <w:szCs w:val="24"/>
        </w:rPr>
      </w:pPr>
      <w:r>
        <w:rPr>
          <w:rFonts w:ascii="Arial" w:hAnsi="Arial" w:cs="Arial"/>
          <w:b/>
          <w:bCs/>
          <w:sz w:val="24"/>
          <w:szCs w:val="24"/>
        </w:rPr>
        <w:t>Funzione di R</w:t>
      </w:r>
      <w:r w:rsidRPr="004818DA">
        <w:rPr>
          <w:rFonts w:ascii="Arial" w:hAnsi="Arial" w:cs="Arial"/>
          <w:b/>
          <w:bCs/>
          <w:sz w:val="24"/>
          <w:szCs w:val="24"/>
        </w:rPr>
        <w:t>eg</w:t>
      </w:r>
      <w:r>
        <w:rPr>
          <w:rFonts w:ascii="Arial" w:hAnsi="Arial" w:cs="Arial"/>
          <w:b/>
          <w:bCs/>
          <w:sz w:val="24"/>
          <w:szCs w:val="24"/>
        </w:rPr>
        <w:t xml:space="preserve">olazione: </w:t>
      </w:r>
      <w:r w:rsidRPr="002E1085">
        <w:rPr>
          <w:rFonts w:ascii="Arial" w:hAnsi="Arial" w:cs="Arial"/>
          <w:sz w:val="24"/>
          <w:szCs w:val="24"/>
        </w:rPr>
        <w:t>sviluppo di una</w:t>
      </w:r>
      <w:r>
        <w:rPr>
          <w:rFonts w:ascii="Arial" w:hAnsi="Arial" w:cs="Arial"/>
          <w:sz w:val="24"/>
          <w:szCs w:val="24"/>
        </w:rPr>
        <w:t xml:space="preserve"> gestione forestale sostenibile volta ad incrementare la capacità di stoccare gas GHG e a prevenire i possibili danni da incendi o schianti;</w:t>
      </w:r>
    </w:p>
    <w:p w14:paraId="1A5EA42E" w14:textId="77777777" w:rsidR="000659BA" w:rsidRDefault="000659BA" w:rsidP="000659BA">
      <w:pPr>
        <w:pStyle w:val="Corpotesto"/>
        <w:numPr>
          <w:ilvl w:val="0"/>
          <w:numId w:val="2"/>
        </w:numPr>
        <w:ind w:right="45"/>
        <w:jc w:val="both"/>
        <w:rPr>
          <w:rFonts w:ascii="Arial" w:hAnsi="Arial" w:cs="Arial"/>
          <w:sz w:val="24"/>
          <w:szCs w:val="24"/>
        </w:rPr>
      </w:pPr>
      <w:r>
        <w:rPr>
          <w:rFonts w:ascii="Arial" w:hAnsi="Arial" w:cs="Arial"/>
          <w:b/>
          <w:bCs/>
          <w:sz w:val="24"/>
          <w:szCs w:val="24"/>
        </w:rPr>
        <w:t>Funzione di Fornitura</w:t>
      </w:r>
      <w:r>
        <w:rPr>
          <w:rFonts w:ascii="Arial" w:hAnsi="Arial" w:cs="Arial"/>
          <w:sz w:val="24"/>
          <w:szCs w:val="24"/>
        </w:rPr>
        <w:t>: migliorando l’impronta ambientale delle filiere foresta-legno;</w:t>
      </w:r>
    </w:p>
    <w:p w14:paraId="3BCD40A5" w14:textId="77777777" w:rsidR="000659BA" w:rsidRDefault="000659BA" w:rsidP="000659BA">
      <w:pPr>
        <w:pStyle w:val="Corpotesto"/>
        <w:numPr>
          <w:ilvl w:val="0"/>
          <w:numId w:val="2"/>
        </w:numPr>
        <w:ind w:right="45"/>
        <w:jc w:val="both"/>
        <w:rPr>
          <w:rFonts w:ascii="Arial" w:hAnsi="Arial" w:cs="Arial"/>
          <w:sz w:val="24"/>
          <w:szCs w:val="24"/>
        </w:rPr>
      </w:pPr>
      <w:r>
        <w:rPr>
          <w:rFonts w:ascii="Arial" w:hAnsi="Arial" w:cs="Arial"/>
          <w:b/>
          <w:bCs/>
          <w:sz w:val="24"/>
          <w:szCs w:val="24"/>
        </w:rPr>
        <w:t xml:space="preserve">Funzione </w:t>
      </w:r>
      <w:r w:rsidRPr="004818DA">
        <w:rPr>
          <w:rFonts w:ascii="Arial" w:hAnsi="Arial" w:cs="Arial"/>
          <w:b/>
          <w:bCs/>
          <w:sz w:val="24"/>
          <w:szCs w:val="24"/>
        </w:rPr>
        <w:t>Cultural</w:t>
      </w:r>
      <w:r>
        <w:rPr>
          <w:rFonts w:ascii="Arial" w:hAnsi="Arial" w:cs="Arial"/>
          <w:b/>
          <w:bCs/>
          <w:sz w:val="24"/>
          <w:szCs w:val="24"/>
        </w:rPr>
        <w:t>e</w:t>
      </w:r>
      <w:r>
        <w:rPr>
          <w:rFonts w:ascii="Arial" w:hAnsi="Arial" w:cs="Arial"/>
          <w:sz w:val="24"/>
          <w:szCs w:val="24"/>
        </w:rPr>
        <w:t xml:space="preserve">: valutando l’impatto ambientale e socioeconomico del turismo dei cercatori di funghi. </w:t>
      </w:r>
    </w:p>
    <w:p w14:paraId="4C35BBCE" w14:textId="77777777" w:rsidR="000659BA" w:rsidRDefault="000659BA" w:rsidP="000659BA">
      <w:pPr>
        <w:pStyle w:val="Corpotesto"/>
        <w:ind w:right="45"/>
        <w:jc w:val="both"/>
        <w:rPr>
          <w:rFonts w:ascii="Arial" w:hAnsi="Arial" w:cs="Arial"/>
          <w:sz w:val="24"/>
          <w:szCs w:val="24"/>
        </w:rPr>
      </w:pPr>
    </w:p>
    <w:p w14:paraId="44729AB6" w14:textId="4F394CAE" w:rsidR="000659BA" w:rsidRDefault="000659BA" w:rsidP="000659BA">
      <w:pPr>
        <w:pStyle w:val="Corpotesto"/>
        <w:ind w:right="45" w:firstLine="567"/>
        <w:jc w:val="both"/>
        <w:rPr>
          <w:rFonts w:ascii="Arial" w:hAnsi="Arial" w:cs="Arial"/>
          <w:sz w:val="24"/>
          <w:szCs w:val="24"/>
        </w:rPr>
      </w:pPr>
      <w:r>
        <w:rPr>
          <w:rFonts w:ascii="Arial" w:hAnsi="Arial" w:cs="Arial"/>
          <w:sz w:val="24"/>
          <w:szCs w:val="24"/>
        </w:rPr>
        <w:t xml:space="preserve">Le attività progettuali sono finalizzate a definire gli strumenti di intervento tecnici e i metodi di monitoraggio per valutare la loro efficacia, ma sono anche orientate a fornire i mezzi per la sostenibilità economica di questi interventi. Tali mezzi per garantire la sostenibilità economica sono pensati nel progetto come </w:t>
      </w:r>
      <w:r w:rsidRPr="00E13990">
        <w:rPr>
          <w:rFonts w:ascii="Arial" w:hAnsi="Arial" w:cs="Arial"/>
          <w:i/>
          <w:iCs/>
          <w:sz w:val="24"/>
          <w:szCs w:val="24"/>
        </w:rPr>
        <w:t>crediti ecosistemici o di sostenibilità</w:t>
      </w:r>
      <w:r>
        <w:rPr>
          <w:rFonts w:ascii="Arial" w:hAnsi="Arial" w:cs="Arial"/>
          <w:sz w:val="24"/>
          <w:szCs w:val="24"/>
        </w:rPr>
        <w:t xml:space="preserve"> assimilabili idealmente ai crediti di carbonio, sebbene con una connotazione più ampia e articolata. </w:t>
      </w:r>
    </w:p>
    <w:p w14:paraId="643F981C" w14:textId="294210BA" w:rsidR="00CC066E" w:rsidRDefault="00E568D7" w:rsidP="000659BA">
      <w:pPr>
        <w:pStyle w:val="Corpotesto"/>
        <w:ind w:right="45" w:firstLine="567"/>
        <w:jc w:val="both"/>
        <w:rPr>
          <w:rFonts w:ascii="Arial" w:hAnsi="Arial" w:cs="Arial"/>
          <w:sz w:val="24"/>
          <w:szCs w:val="24"/>
        </w:rPr>
      </w:pPr>
      <w:r>
        <w:rPr>
          <w:rFonts w:ascii="Arial" w:hAnsi="Arial" w:cs="Arial"/>
          <w:sz w:val="24"/>
          <w:szCs w:val="24"/>
        </w:rPr>
        <w:t xml:space="preserve">Per sviluppare questa tipologia di crediti è necessario collocarla nel quadro della normativa europea e nazionale </w:t>
      </w:r>
      <w:r w:rsidR="00926A7E">
        <w:rPr>
          <w:rFonts w:ascii="Arial" w:hAnsi="Arial" w:cs="Arial"/>
          <w:sz w:val="24"/>
          <w:szCs w:val="24"/>
        </w:rPr>
        <w:t xml:space="preserve">sul tema, perché vi sono alcuni vincoli importanti da considerare. </w:t>
      </w:r>
    </w:p>
    <w:p w14:paraId="0059E076" w14:textId="6BAF4FEF" w:rsidR="00822C06" w:rsidRDefault="00255310" w:rsidP="000659BA">
      <w:pPr>
        <w:pStyle w:val="Corpotesto"/>
        <w:ind w:right="45" w:firstLine="567"/>
        <w:jc w:val="both"/>
        <w:rPr>
          <w:rFonts w:ascii="Arial" w:hAnsi="Arial" w:cs="Arial"/>
          <w:sz w:val="24"/>
          <w:szCs w:val="24"/>
        </w:rPr>
      </w:pPr>
      <w:r>
        <w:rPr>
          <w:rFonts w:ascii="Arial" w:hAnsi="Arial" w:cs="Arial"/>
          <w:sz w:val="24"/>
          <w:szCs w:val="24"/>
        </w:rPr>
        <w:t xml:space="preserve">Poiché si parla di tonnellate di carbonio e di potenziali compensazioni </w:t>
      </w:r>
      <w:r w:rsidR="00842A3A">
        <w:rPr>
          <w:rFonts w:ascii="Arial" w:hAnsi="Arial" w:cs="Arial"/>
          <w:sz w:val="24"/>
          <w:szCs w:val="24"/>
        </w:rPr>
        <w:t xml:space="preserve">delle emissioni di imprese, il primo elemento da considerare è il </w:t>
      </w:r>
      <w:r w:rsidR="00106772">
        <w:rPr>
          <w:rFonts w:ascii="Arial" w:hAnsi="Arial" w:cs="Arial"/>
          <w:sz w:val="24"/>
          <w:szCs w:val="24"/>
        </w:rPr>
        <w:t>sistema</w:t>
      </w:r>
      <w:r w:rsidR="00842A3A">
        <w:rPr>
          <w:rFonts w:ascii="Arial" w:hAnsi="Arial" w:cs="Arial"/>
          <w:sz w:val="24"/>
          <w:szCs w:val="24"/>
        </w:rPr>
        <w:t xml:space="preserve"> normativo che istituisce e regola il mercato EU ETS. </w:t>
      </w:r>
      <w:r w:rsidR="00AD379F">
        <w:rPr>
          <w:rFonts w:ascii="Arial" w:hAnsi="Arial" w:cs="Arial"/>
          <w:sz w:val="24"/>
          <w:szCs w:val="24"/>
        </w:rPr>
        <w:t xml:space="preserve">Il mercato EU ETS allo stato attuale non può </w:t>
      </w:r>
      <w:r w:rsidR="009824CB">
        <w:rPr>
          <w:rFonts w:ascii="Arial" w:hAnsi="Arial" w:cs="Arial"/>
          <w:sz w:val="24"/>
          <w:szCs w:val="24"/>
        </w:rPr>
        <w:t xml:space="preserve">essere in alcun modo il destinatario di Crediti di Carbonio o di Crediti di Sostenibilità che hanno al proprio interno </w:t>
      </w:r>
      <w:r w:rsidR="007B099F">
        <w:rPr>
          <w:rFonts w:ascii="Arial" w:hAnsi="Arial" w:cs="Arial"/>
          <w:sz w:val="24"/>
          <w:szCs w:val="24"/>
        </w:rPr>
        <w:t xml:space="preserve">fattori connessi </w:t>
      </w:r>
      <w:r w:rsidR="00403424">
        <w:rPr>
          <w:rFonts w:ascii="Arial" w:hAnsi="Arial" w:cs="Arial"/>
          <w:sz w:val="24"/>
          <w:szCs w:val="24"/>
        </w:rPr>
        <w:t>al settore LULUCF</w:t>
      </w:r>
      <w:r w:rsidR="007B099F">
        <w:rPr>
          <w:rFonts w:ascii="Arial" w:hAnsi="Arial" w:cs="Arial"/>
          <w:sz w:val="24"/>
          <w:szCs w:val="24"/>
        </w:rPr>
        <w:t xml:space="preserve"> in quanto il Regolamento UE 2004/101 lo vieta esplicitamente</w:t>
      </w:r>
      <w:r w:rsidR="009209E6">
        <w:rPr>
          <w:rFonts w:ascii="Arial" w:hAnsi="Arial" w:cs="Arial"/>
          <w:sz w:val="24"/>
          <w:szCs w:val="24"/>
        </w:rPr>
        <w:t xml:space="preserve">, ma </w:t>
      </w:r>
      <w:r w:rsidR="00020A88">
        <w:rPr>
          <w:rFonts w:ascii="Arial" w:hAnsi="Arial" w:cs="Arial"/>
          <w:sz w:val="24"/>
          <w:szCs w:val="24"/>
        </w:rPr>
        <w:t>rappresenta</w:t>
      </w:r>
      <w:r w:rsidR="009209E6">
        <w:rPr>
          <w:rFonts w:ascii="Arial" w:hAnsi="Arial" w:cs="Arial"/>
          <w:sz w:val="24"/>
          <w:szCs w:val="24"/>
        </w:rPr>
        <w:t xml:space="preserve"> un importante elemento di riferimento per questi crediti in quanto: </w:t>
      </w:r>
    </w:p>
    <w:p w14:paraId="581D4AC4" w14:textId="77777777" w:rsidR="00C52378" w:rsidRDefault="00C52378" w:rsidP="00C52378">
      <w:pPr>
        <w:pStyle w:val="Corpotesto"/>
        <w:numPr>
          <w:ilvl w:val="0"/>
          <w:numId w:val="8"/>
        </w:numPr>
        <w:ind w:right="45"/>
        <w:jc w:val="both"/>
        <w:rPr>
          <w:rFonts w:ascii="Arial" w:hAnsi="Arial" w:cs="Arial"/>
          <w:sz w:val="24"/>
          <w:szCs w:val="24"/>
        </w:rPr>
      </w:pPr>
      <w:r>
        <w:rPr>
          <w:rFonts w:ascii="Arial" w:hAnsi="Arial" w:cs="Arial"/>
          <w:sz w:val="24"/>
          <w:szCs w:val="24"/>
        </w:rPr>
        <w:t>consente di avere un valore monetario di riferimento per l’emissione dei crediti, in quanto la tonnellata di carbonio è l’unità di base degli scambi che avvengono sul mercato regolamentato EU ETS</w:t>
      </w:r>
      <w:r>
        <w:rPr>
          <w:rStyle w:val="Rimandonotaapidipagina"/>
          <w:rFonts w:ascii="Arial" w:hAnsi="Arial" w:cs="Arial"/>
          <w:sz w:val="24"/>
          <w:szCs w:val="24"/>
        </w:rPr>
        <w:footnoteReference w:id="1"/>
      </w:r>
      <w:r>
        <w:rPr>
          <w:rFonts w:ascii="Arial" w:hAnsi="Arial" w:cs="Arial"/>
          <w:sz w:val="24"/>
          <w:szCs w:val="24"/>
        </w:rPr>
        <w:t xml:space="preserve">; </w:t>
      </w:r>
    </w:p>
    <w:p w14:paraId="76CA3650" w14:textId="77777777" w:rsidR="00C52378" w:rsidRDefault="00C52378" w:rsidP="00C52378">
      <w:pPr>
        <w:pStyle w:val="Corpotesto"/>
        <w:numPr>
          <w:ilvl w:val="0"/>
          <w:numId w:val="8"/>
        </w:numPr>
        <w:ind w:right="45"/>
        <w:jc w:val="both"/>
        <w:rPr>
          <w:rFonts w:ascii="Arial" w:hAnsi="Arial" w:cs="Arial"/>
          <w:sz w:val="24"/>
          <w:szCs w:val="24"/>
        </w:rPr>
      </w:pPr>
      <w:r>
        <w:rPr>
          <w:rFonts w:ascii="Arial" w:hAnsi="Arial" w:cs="Arial"/>
          <w:sz w:val="24"/>
          <w:szCs w:val="24"/>
        </w:rPr>
        <w:t xml:space="preserve">fornisce la base di riferimento per la definizione di procedure e regole che, sotto certe condizioni che devono essere verificate, potrebbero consentire nel lungo periodo la trasformazione delle tonnellate di CO2 stoccate con la gestione forestale sostenibile in crediti utilizzabili sui mercati obbligatori. </w:t>
      </w:r>
    </w:p>
    <w:p w14:paraId="46929798" w14:textId="77777777" w:rsidR="00C52378" w:rsidRDefault="00C52378" w:rsidP="00C52378">
      <w:pPr>
        <w:pStyle w:val="Corpotesto"/>
        <w:ind w:right="45" w:firstLine="567"/>
        <w:jc w:val="both"/>
        <w:rPr>
          <w:rFonts w:ascii="Arial" w:hAnsi="Arial" w:cs="Arial"/>
          <w:sz w:val="24"/>
          <w:szCs w:val="24"/>
        </w:rPr>
      </w:pPr>
    </w:p>
    <w:p w14:paraId="7D057FF3" w14:textId="668A26D1" w:rsidR="00B442B0" w:rsidRDefault="00A2783F" w:rsidP="00D02422">
      <w:pPr>
        <w:pStyle w:val="Corpotesto"/>
        <w:ind w:right="45" w:firstLine="567"/>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Le attività LULUCF sono state incluse come componenti </w:t>
      </w:r>
      <w:r w:rsidR="009D5AD1">
        <w:rPr>
          <w:rFonts w:ascii="Arial" w:eastAsia="Times New Roman" w:hAnsi="Arial" w:cs="Arial"/>
          <w:sz w:val="24"/>
          <w:szCs w:val="24"/>
          <w:lang w:eastAsia="it-IT"/>
        </w:rPr>
        <w:t xml:space="preserve">che contribuiscono alla gestione delle emissioni di gas GHG nel </w:t>
      </w:r>
      <w:r w:rsidR="00B442B0" w:rsidRPr="008E79B3">
        <w:rPr>
          <w:rFonts w:ascii="Arial" w:eastAsia="Times New Roman" w:hAnsi="Arial" w:cs="Arial"/>
          <w:sz w:val="24"/>
          <w:szCs w:val="24"/>
          <w:lang w:eastAsia="it-IT"/>
        </w:rPr>
        <w:t>Regolamento 525/2</w:t>
      </w:r>
      <w:r w:rsidR="00116EB4">
        <w:rPr>
          <w:rFonts w:ascii="Arial" w:eastAsia="Times New Roman" w:hAnsi="Arial" w:cs="Arial"/>
          <w:sz w:val="24"/>
          <w:szCs w:val="24"/>
          <w:lang w:eastAsia="it-IT"/>
        </w:rPr>
        <w:t>0</w:t>
      </w:r>
      <w:r w:rsidR="00B442B0" w:rsidRPr="008E79B3">
        <w:rPr>
          <w:rFonts w:ascii="Arial" w:eastAsia="Times New Roman" w:hAnsi="Arial" w:cs="Arial"/>
          <w:sz w:val="24"/>
          <w:szCs w:val="24"/>
          <w:lang w:eastAsia="it-IT"/>
        </w:rPr>
        <w:t>13</w:t>
      </w:r>
      <w:r w:rsidR="006C4CBF">
        <w:rPr>
          <w:rFonts w:ascii="Arial" w:eastAsia="Times New Roman" w:hAnsi="Arial" w:cs="Arial"/>
          <w:sz w:val="24"/>
          <w:szCs w:val="24"/>
          <w:lang w:eastAsia="it-IT"/>
        </w:rPr>
        <w:t>. I</w:t>
      </w:r>
      <w:r w:rsidR="00B442B0" w:rsidRPr="008E79B3">
        <w:rPr>
          <w:rFonts w:ascii="Arial" w:eastAsia="Times New Roman" w:hAnsi="Arial" w:cs="Arial"/>
          <w:sz w:val="24"/>
          <w:szCs w:val="24"/>
          <w:lang w:eastAsia="it-IT"/>
        </w:rPr>
        <w:t>n parallelo a questo Regolamento</w:t>
      </w:r>
      <w:r w:rsidR="00B442B0">
        <w:rPr>
          <w:rFonts w:ascii="Arial" w:eastAsia="Times New Roman" w:hAnsi="Arial" w:cs="Arial"/>
          <w:sz w:val="24"/>
          <w:szCs w:val="24"/>
          <w:lang w:eastAsia="it-IT"/>
        </w:rPr>
        <w:t xml:space="preserve">, esce in contemporanea la Decisione UE 529/2013 che descrive le norme per la contabilizzazione delle emissioni e dello stoccaggio dei gas GHG nel settore LULUCF. le allocazioni del mercato EU ETS per ogni singolo SM sono parte di questo </w:t>
      </w:r>
      <w:r w:rsidR="00B442B0">
        <w:rPr>
          <w:rFonts w:ascii="Arial" w:eastAsia="Times New Roman" w:hAnsi="Arial" w:cs="Arial"/>
          <w:sz w:val="24"/>
          <w:szCs w:val="24"/>
          <w:lang w:eastAsia="it-IT"/>
        </w:rPr>
        <w:lastRenderedPageBreak/>
        <w:t>Inventario, che si compone quindi di due aree: l’area emissioni GHG EU ETS, che ha obbiettivi di riduzione di -43% nel 2030 e l’area ESR che l’obbiettivo di riduzione per i settori non ETS del -33%</w:t>
      </w:r>
      <w:r w:rsidR="008A179A">
        <w:rPr>
          <w:rFonts w:ascii="Arial" w:eastAsia="Times New Roman" w:hAnsi="Arial" w:cs="Arial"/>
          <w:sz w:val="24"/>
          <w:szCs w:val="24"/>
          <w:lang w:eastAsia="it-IT"/>
        </w:rPr>
        <w:t>. I</w:t>
      </w:r>
      <w:r w:rsidR="00B442B0">
        <w:rPr>
          <w:rFonts w:ascii="Arial" w:eastAsia="Times New Roman" w:hAnsi="Arial" w:cs="Arial"/>
          <w:sz w:val="24"/>
          <w:szCs w:val="24"/>
          <w:lang w:eastAsia="it-IT"/>
        </w:rPr>
        <w:t>l settore LULUCF concorre a definire il raggiungimento degli obbiettivi stabiliti nell’ESR per lo SM. Per l’Italia, la gestione dell’Inventario Nazionale dei Gas Serra è demandata all’ISPRA.</w:t>
      </w:r>
      <w:r w:rsidR="00D83B89">
        <w:rPr>
          <w:rFonts w:ascii="Arial" w:eastAsia="Times New Roman" w:hAnsi="Arial" w:cs="Arial"/>
          <w:sz w:val="24"/>
          <w:szCs w:val="24"/>
          <w:lang w:eastAsia="it-IT"/>
        </w:rPr>
        <w:t xml:space="preserve"> Oggi il Regolamento </w:t>
      </w:r>
      <w:r w:rsidR="00116EB4">
        <w:rPr>
          <w:rFonts w:ascii="Arial" w:eastAsia="Times New Roman" w:hAnsi="Arial" w:cs="Arial"/>
          <w:sz w:val="24"/>
          <w:szCs w:val="24"/>
          <w:lang w:eastAsia="it-IT"/>
        </w:rPr>
        <w:t>525/2013</w:t>
      </w:r>
      <w:r w:rsidR="007C783A">
        <w:rPr>
          <w:rFonts w:ascii="Arial" w:eastAsia="Times New Roman" w:hAnsi="Arial" w:cs="Arial"/>
          <w:sz w:val="24"/>
          <w:szCs w:val="24"/>
          <w:lang w:eastAsia="it-IT"/>
        </w:rPr>
        <w:t xml:space="preserve"> è abrogato dal Regolamento 2018/1999, ma l’inventario nazionale de</w:t>
      </w:r>
      <w:r w:rsidR="00B5416E">
        <w:rPr>
          <w:rFonts w:ascii="Arial" w:eastAsia="Times New Roman" w:hAnsi="Arial" w:cs="Arial"/>
          <w:sz w:val="24"/>
          <w:szCs w:val="24"/>
          <w:lang w:eastAsia="it-IT"/>
        </w:rPr>
        <w:t>i gas GHG è ancora in vigore.</w:t>
      </w:r>
    </w:p>
    <w:p w14:paraId="7878DB39" w14:textId="3FDEE02F" w:rsidR="00B442B0" w:rsidRDefault="00D83B89" w:rsidP="00B442B0">
      <w:pPr>
        <w:pStyle w:val="Corpotesto"/>
        <w:ind w:right="45" w:firstLine="567"/>
        <w:jc w:val="both"/>
        <w:rPr>
          <w:rFonts w:ascii="Arial" w:hAnsi="Arial" w:cs="Arial"/>
          <w:sz w:val="24"/>
          <w:szCs w:val="24"/>
        </w:rPr>
      </w:pPr>
      <w:r>
        <w:rPr>
          <w:rFonts w:ascii="Arial" w:hAnsi="Arial" w:cs="Arial"/>
          <w:sz w:val="24"/>
          <w:szCs w:val="24"/>
        </w:rPr>
        <w:t>L</w:t>
      </w:r>
      <w:r w:rsidR="00B442B0">
        <w:rPr>
          <w:rFonts w:ascii="Arial" w:hAnsi="Arial" w:cs="Arial"/>
          <w:sz w:val="24"/>
          <w:szCs w:val="24"/>
        </w:rPr>
        <w:t>’attuale caratterizzazione del settore LULUCF nella normativa Europea</w:t>
      </w:r>
      <w:r w:rsidR="00B5416E">
        <w:rPr>
          <w:rFonts w:ascii="Arial" w:hAnsi="Arial" w:cs="Arial"/>
          <w:sz w:val="24"/>
          <w:szCs w:val="24"/>
        </w:rPr>
        <w:t xml:space="preserve"> è definit</w:t>
      </w:r>
      <w:r w:rsidR="007163EC">
        <w:rPr>
          <w:rFonts w:ascii="Arial" w:hAnsi="Arial" w:cs="Arial"/>
          <w:sz w:val="24"/>
          <w:szCs w:val="24"/>
        </w:rPr>
        <w:t>a</w:t>
      </w:r>
      <w:r w:rsidR="00B5416E">
        <w:rPr>
          <w:rFonts w:ascii="Arial" w:hAnsi="Arial" w:cs="Arial"/>
          <w:sz w:val="24"/>
          <w:szCs w:val="24"/>
        </w:rPr>
        <w:t xml:space="preserve"> da tre importanti regolamenti rilasciati nel 2018</w:t>
      </w:r>
      <w:r w:rsidR="00B442B0">
        <w:rPr>
          <w:rFonts w:ascii="Arial" w:hAnsi="Arial" w:cs="Arial"/>
          <w:sz w:val="24"/>
          <w:szCs w:val="24"/>
        </w:rPr>
        <w:t>. Questi regolamenti sono:</w:t>
      </w:r>
    </w:p>
    <w:p w14:paraId="4F7EFF02" w14:textId="77777777" w:rsidR="00B442B0" w:rsidRDefault="00B442B0" w:rsidP="00B442B0">
      <w:pPr>
        <w:pStyle w:val="Corpotesto"/>
        <w:ind w:right="45" w:firstLine="567"/>
        <w:jc w:val="both"/>
        <w:rPr>
          <w:rFonts w:ascii="Arial" w:hAnsi="Arial" w:cs="Arial"/>
          <w:sz w:val="24"/>
          <w:szCs w:val="24"/>
        </w:rPr>
      </w:pPr>
    </w:p>
    <w:p w14:paraId="5609DFBE" w14:textId="6EADC814" w:rsidR="00B442B0" w:rsidRPr="00DA0ABA" w:rsidRDefault="00B442B0" w:rsidP="00B442B0">
      <w:pPr>
        <w:pStyle w:val="Corpotesto"/>
        <w:numPr>
          <w:ilvl w:val="0"/>
          <w:numId w:val="6"/>
        </w:numPr>
        <w:ind w:right="45"/>
        <w:jc w:val="both"/>
        <w:rPr>
          <w:rFonts w:ascii="Arial" w:eastAsia="Times New Roman" w:hAnsi="Arial" w:cs="Arial"/>
          <w:color w:val="333333"/>
          <w:sz w:val="24"/>
          <w:szCs w:val="24"/>
          <w:lang w:eastAsia="it-IT"/>
        </w:rPr>
      </w:pPr>
      <w:r w:rsidRPr="00DA0ABA">
        <w:rPr>
          <w:rFonts w:ascii="Arial" w:eastAsia="Times New Roman" w:hAnsi="Arial" w:cs="Arial"/>
          <w:color w:val="333333"/>
          <w:sz w:val="24"/>
          <w:szCs w:val="24"/>
          <w:lang w:eastAsia="it-IT"/>
        </w:rPr>
        <w:t xml:space="preserve">Il Regolamento 842/2018 che allinea le attività agli accordi di Parigi del 2015 (ETS e </w:t>
      </w:r>
      <w:r>
        <w:rPr>
          <w:rFonts w:ascii="Arial" w:eastAsia="Times New Roman" w:hAnsi="Arial" w:cs="Arial"/>
          <w:color w:val="333333"/>
          <w:sz w:val="24"/>
          <w:szCs w:val="24"/>
          <w:lang w:eastAsia="it-IT"/>
        </w:rPr>
        <w:t>ESR</w:t>
      </w:r>
      <w:r>
        <w:rPr>
          <w:rStyle w:val="Rimandonotaapidipagina"/>
          <w:rFonts w:ascii="Arial" w:eastAsia="Times New Roman" w:hAnsi="Arial" w:cs="Arial"/>
          <w:color w:val="333333"/>
          <w:sz w:val="24"/>
          <w:szCs w:val="24"/>
          <w:lang w:eastAsia="it-IT"/>
        </w:rPr>
        <w:footnoteReference w:id="2"/>
      </w:r>
      <w:r w:rsidRPr="00DA0ABA">
        <w:rPr>
          <w:rFonts w:ascii="Arial" w:eastAsia="Times New Roman" w:hAnsi="Arial" w:cs="Arial"/>
          <w:color w:val="333333"/>
          <w:sz w:val="24"/>
          <w:szCs w:val="24"/>
          <w:lang w:eastAsia="it-IT"/>
        </w:rPr>
        <w:t>) e identifica le attività LULUCF come elemento portante della strategia climatica dell’Unione Europea;</w:t>
      </w:r>
    </w:p>
    <w:p w14:paraId="53D96B11" w14:textId="48D6F01A" w:rsidR="00B442B0" w:rsidRPr="00DA0ABA" w:rsidRDefault="00B442B0" w:rsidP="00B442B0">
      <w:pPr>
        <w:pStyle w:val="Corpotesto"/>
        <w:numPr>
          <w:ilvl w:val="0"/>
          <w:numId w:val="6"/>
        </w:numPr>
        <w:ind w:right="45"/>
        <w:jc w:val="both"/>
        <w:rPr>
          <w:rFonts w:ascii="Arial" w:eastAsia="Times New Roman" w:hAnsi="Arial" w:cs="Arial"/>
          <w:color w:val="333333"/>
          <w:sz w:val="24"/>
          <w:szCs w:val="24"/>
          <w:lang w:eastAsia="it-IT"/>
        </w:rPr>
      </w:pPr>
      <w:r w:rsidRPr="00DA0ABA">
        <w:rPr>
          <w:rFonts w:ascii="Arial" w:eastAsia="Times New Roman" w:hAnsi="Arial" w:cs="Arial"/>
          <w:color w:val="333333"/>
          <w:sz w:val="24"/>
          <w:szCs w:val="24"/>
          <w:lang w:eastAsia="it-IT"/>
        </w:rPr>
        <w:t xml:space="preserve">Il Regolamento 841/2018 che definisce le attività LULUCF nel quadro delle azioni per il clima e istituisce </w:t>
      </w:r>
      <w:r>
        <w:rPr>
          <w:rFonts w:ascii="Arial" w:eastAsia="Times New Roman" w:hAnsi="Arial" w:cs="Arial"/>
          <w:color w:val="333333"/>
          <w:sz w:val="24"/>
          <w:szCs w:val="24"/>
          <w:lang w:eastAsia="it-IT"/>
        </w:rPr>
        <w:t>precise regole di contabilizzazione e</w:t>
      </w:r>
      <w:r w:rsidRPr="00DA0ABA">
        <w:rPr>
          <w:rFonts w:ascii="Arial" w:eastAsia="Times New Roman" w:hAnsi="Arial" w:cs="Arial"/>
          <w:color w:val="333333"/>
          <w:sz w:val="24"/>
          <w:szCs w:val="24"/>
          <w:lang w:eastAsia="it-IT"/>
        </w:rPr>
        <w:t xml:space="preserve"> di monitoraggio</w:t>
      </w:r>
      <w:r>
        <w:rPr>
          <w:rFonts w:ascii="Arial" w:eastAsia="Times New Roman" w:hAnsi="Arial" w:cs="Arial"/>
          <w:color w:val="333333"/>
          <w:sz w:val="24"/>
          <w:szCs w:val="24"/>
          <w:lang w:eastAsia="it-IT"/>
        </w:rPr>
        <w:t xml:space="preserve"> per questo settore</w:t>
      </w:r>
      <w:r w:rsidRPr="00DA0ABA">
        <w:rPr>
          <w:rFonts w:ascii="Arial" w:eastAsia="Times New Roman" w:hAnsi="Arial" w:cs="Arial"/>
          <w:color w:val="333333"/>
          <w:sz w:val="24"/>
          <w:szCs w:val="24"/>
          <w:lang w:eastAsia="it-IT"/>
        </w:rPr>
        <w:t xml:space="preserve">. </w:t>
      </w:r>
    </w:p>
    <w:p w14:paraId="56ED4C5B" w14:textId="77777777" w:rsidR="00B442B0" w:rsidRPr="00DA0ABA" w:rsidRDefault="00B442B0" w:rsidP="00B442B0">
      <w:pPr>
        <w:pStyle w:val="Corpotesto"/>
        <w:numPr>
          <w:ilvl w:val="0"/>
          <w:numId w:val="6"/>
        </w:numPr>
        <w:ind w:right="45"/>
        <w:jc w:val="both"/>
        <w:rPr>
          <w:rFonts w:ascii="Arial" w:eastAsia="Times New Roman" w:hAnsi="Arial" w:cs="Arial"/>
          <w:color w:val="333333"/>
          <w:sz w:val="24"/>
          <w:szCs w:val="24"/>
          <w:lang w:eastAsia="it-IT"/>
        </w:rPr>
      </w:pPr>
      <w:r w:rsidRPr="00DA0ABA">
        <w:rPr>
          <w:rFonts w:ascii="Arial" w:eastAsia="Times New Roman" w:hAnsi="Arial" w:cs="Arial"/>
          <w:color w:val="333333"/>
          <w:sz w:val="24"/>
          <w:szCs w:val="24"/>
          <w:lang w:eastAsia="it-IT"/>
        </w:rPr>
        <w:t>Il Regolamento UE 1999/2018 relativo alla governance dell'Unione dell'energia e dell'azione per il clima, che prevede istituti e procedure per conseguire gli obiettivi e traguardi dell'Unione dell'energia, e in particolare quelli fissati per il 2030 in materia di energia e di clima;</w:t>
      </w:r>
    </w:p>
    <w:p w14:paraId="3949BBB2" w14:textId="5CB27C3F" w:rsidR="00B442B0" w:rsidRDefault="00B442B0" w:rsidP="002A4817">
      <w:pPr>
        <w:pStyle w:val="Corpotesto"/>
        <w:spacing w:before="104" w:line="237" w:lineRule="auto"/>
        <w:ind w:right="46"/>
        <w:jc w:val="both"/>
        <w:rPr>
          <w:rFonts w:ascii="Arial" w:hAnsi="Arial" w:cs="Arial"/>
          <w:sz w:val="24"/>
          <w:szCs w:val="24"/>
        </w:rPr>
      </w:pPr>
    </w:p>
    <w:p w14:paraId="063EF67E" w14:textId="77777777" w:rsidR="004B660B" w:rsidRDefault="004B660B" w:rsidP="004B660B">
      <w:pPr>
        <w:pStyle w:val="Corpotesto"/>
        <w:ind w:right="45" w:firstLine="567"/>
        <w:jc w:val="both"/>
        <w:rPr>
          <w:rFonts w:ascii="Arial" w:hAnsi="Arial" w:cs="Arial"/>
          <w:sz w:val="24"/>
          <w:szCs w:val="24"/>
        </w:rPr>
      </w:pPr>
      <w:r>
        <w:rPr>
          <w:rFonts w:ascii="Arial" w:hAnsi="Arial" w:cs="Arial"/>
          <w:sz w:val="24"/>
          <w:szCs w:val="24"/>
        </w:rPr>
        <w:t>Il Regolamento 842/2018 definisce gli obbiettivi della UE sulla riduzione vincolante delle emissioni (allora fissate al 40% entro il 2030) per ogni singolo SM ripartendoli tra i settori ETS e i settori ESR al fine di onorare gli Accordi di Parigi. In altri termini, alla luce dell’inventario sui gas GHG definito nel Regolamento 525/2013 e discusso in precedenza, il Regolamento 2018/842 stabilisce:</w:t>
      </w:r>
    </w:p>
    <w:p w14:paraId="0ECBC0C3" w14:textId="5D7C7D12" w:rsidR="004B660B" w:rsidRPr="00335FBE" w:rsidRDefault="004B660B" w:rsidP="003B67A5">
      <w:pPr>
        <w:pStyle w:val="Corpotesto"/>
        <w:numPr>
          <w:ilvl w:val="0"/>
          <w:numId w:val="42"/>
        </w:numPr>
        <w:ind w:right="45"/>
        <w:jc w:val="both"/>
        <w:rPr>
          <w:rFonts w:ascii="Arial" w:hAnsi="Arial" w:cs="Arial"/>
          <w:sz w:val="24"/>
          <w:szCs w:val="24"/>
        </w:rPr>
      </w:pPr>
      <w:r w:rsidRPr="00335FBE">
        <w:rPr>
          <w:rFonts w:ascii="Arial" w:hAnsi="Arial" w:cs="Arial"/>
          <w:sz w:val="24"/>
          <w:szCs w:val="24"/>
        </w:rPr>
        <w:t>la creazione di un registro unico delle emissioni a livello europeo e di registri nazionali sulle emissioni</w:t>
      </w:r>
      <w:r w:rsidR="00335FBE" w:rsidRPr="00335FBE">
        <w:rPr>
          <w:rFonts w:ascii="Arial" w:hAnsi="Arial" w:cs="Arial"/>
          <w:sz w:val="24"/>
          <w:szCs w:val="24"/>
        </w:rPr>
        <w:t xml:space="preserve"> e </w:t>
      </w:r>
      <w:r w:rsidRPr="00335FBE">
        <w:rPr>
          <w:rFonts w:ascii="Arial" w:hAnsi="Arial" w:cs="Arial"/>
          <w:sz w:val="24"/>
          <w:szCs w:val="24"/>
        </w:rPr>
        <w:t>tale registro per ogni SM è composto da dalle emissioni in ton di CO</w:t>
      </w:r>
      <w:r w:rsidRPr="00335FBE">
        <w:rPr>
          <w:rFonts w:ascii="Arial" w:hAnsi="Arial" w:cs="Arial"/>
          <w:sz w:val="24"/>
          <w:szCs w:val="24"/>
          <w:vertAlign w:val="subscript"/>
        </w:rPr>
        <w:t>2</w:t>
      </w:r>
      <w:r w:rsidRPr="00335FBE">
        <w:rPr>
          <w:rFonts w:ascii="Arial" w:hAnsi="Arial" w:cs="Arial"/>
          <w:sz w:val="24"/>
          <w:szCs w:val="24"/>
        </w:rPr>
        <w:t xml:space="preserve"> </w:t>
      </w:r>
      <w:proofErr w:type="spellStart"/>
      <w:r w:rsidRPr="00335FBE">
        <w:rPr>
          <w:rFonts w:ascii="Arial" w:hAnsi="Arial" w:cs="Arial"/>
          <w:sz w:val="24"/>
          <w:szCs w:val="24"/>
        </w:rPr>
        <w:t>eq</w:t>
      </w:r>
      <w:proofErr w:type="spellEnd"/>
      <w:r w:rsidRPr="00335FBE">
        <w:rPr>
          <w:rFonts w:ascii="Arial" w:hAnsi="Arial" w:cs="Arial"/>
          <w:sz w:val="24"/>
          <w:szCs w:val="24"/>
        </w:rPr>
        <w:t>. assegnate al mercato EU ETS del singolo SM e da quelle dei settori che appartengono al meccanismo ESR (Agricoltura, settori industriali non in EU ETS, trasporti, residenziale e gestione rifiuti);</w:t>
      </w:r>
    </w:p>
    <w:p w14:paraId="39AEAAE5" w14:textId="7D7F71DF" w:rsidR="004B660B" w:rsidRDefault="007719AC" w:rsidP="004B660B">
      <w:pPr>
        <w:pStyle w:val="Corpotesto"/>
        <w:numPr>
          <w:ilvl w:val="0"/>
          <w:numId w:val="42"/>
        </w:numPr>
        <w:ind w:right="45"/>
        <w:jc w:val="both"/>
        <w:rPr>
          <w:rFonts w:ascii="Arial" w:hAnsi="Arial" w:cs="Arial"/>
          <w:sz w:val="24"/>
          <w:szCs w:val="24"/>
        </w:rPr>
      </w:pPr>
      <w:r>
        <w:rPr>
          <w:rFonts w:ascii="Arial" w:hAnsi="Arial" w:cs="Arial"/>
          <w:sz w:val="24"/>
          <w:szCs w:val="24"/>
        </w:rPr>
        <w:t xml:space="preserve">che </w:t>
      </w:r>
      <w:r w:rsidR="004B660B">
        <w:rPr>
          <w:rFonts w:ascii="Arial" w:hAnsi="Arial" w:cs="Arial"/>
          <w:sz w:val="24"/>
          <w:szCs w:val="24"/>
        </w:rPr>
        <w:t>ogni SM ha degli obbiettivi vincolanti di riduzione delle emissioni stabiliti nel Regolamento 2018/842 e definisce anche la traiettoria di adeguamento agli obbiettivi che deve essere perseguita durante il decennio 2021-2030 sia per i settori in EU ETS sia per tutti i settori che sono stati inseriti nell’ESR</w:t>
      </w:r>
      <w:r>
        <w:rPr>
          <w:rFonts w:ascii="Arial" w:hAnsi="Arial" w:cs="Arial"/>
          <w:sz w:val="24"/>
          <w:szCs w:val="24"/>
        </w:rPr>
        <w:t>;</w:t>
      </w:r>
      <w:r w:rsidR="004B660B">
        <w:rPr>
          <w:rFonts w:ascii="Arial" w:hAnsi="Arial" w:cs="Arial"/>
          <w:sz w:val="24"/>
          <w:szCs w:val="24"/>
        </w:rPr>
        <w:t xml:space="preserve"> </w:t>
      </w:r>
    </w:p>
    <w:p w14:paraId="7CDED38D" w14:textId="0D620D1A" w:rsidR="004B660B" w:rsidRDefault="007719AC" w:rsidP="004B660B">
      <w:pPr>
        <w:pStyle w:val="Corpotesto"/>
        <w:numPr>
          <w:ilvl w:val="0"/>
          <w:numId w:val="42"/>
        </w:numPr>
        <w:ind w:right="45"/>
        <w:jc w:val="both"/>
        <w:rPr>
          <w:rFonts w:ascii="Arial" w:hAnsi="Arial" w:cs="Arial"/>
          <w:sz w:val="24"/>
          <w:szCs w:val="24"/>
        </w:rPr>
      </w:pPr>
      <w:r>
        <w:rPr>
          <w:rFonts w:ascii="Arial" w:hAnsi="Arial" w:cs="Arial"/>
          <w:sz w:val="24"/>
          <w:szCs w:val="24"/>
        </w:rPr>
        <w:t xml:space="preserve">che </w:t>
      </w:r>
      <w:r w:rsidR="004B660B">
        <w:rPr>
          <w:rFonts w:ascii="Arial" w:hAnsi="Arial" w:cs="Arial"/>
          <w:sz w:val="24"/>
          <w:szCs w:val="24"/>
        </w:rPr>
        <w:t>è possibile creare, sotto certe condizioni, dei meccanismi di scambio delle quote di CO</w:t>
      </w:r>
      <w:r w:rsidR="004B660B" w:rsidRPr="00FD212E">
        <w:rPr>
          <w:rFonts w:ascii="Arial" w:hAnsi="Arial" w:cs="Arial"/>
          <w:sz w:val="24"/>
          <w:szCs w:val="24"/>
          <w:vertAlign w:val="subscript"/>
        </w:rPr>
        <w:t>2</w:t>
      </w:r>
      <w:r w:rsidR="004B660B">
        <w:rPr>
          <w:rFonts w:ascii="Arial" w:hAnsi="Arial" w:cs="Arial"/>
          <w:sz w:val="24"/>
          <w:szCs w:val="24"/>
        </w:rPr>
        <w:t xml:space="preserve"> tra SM, con un principio simile a quello dell’EU ETS. </w:t>
      </w:r>
    </w:p>
    <w:p w14:paraId="0B66C98D" w14:textId="77777777" w:rsidR="004B660B" w:rsidRDefault="004B660B" w:rsidP="004B660B">
      <w:pPr>
        <w:pStyle w:val="Corpotesto"/>
        <w:ind w:right="45" w:firstLine="567"/>
        <w:jc w:val="both"/>
        <w:rPr>
          <w:rFonts w:ascii="Arial" w:hAnsi="Arial" w:cs="Arial"/>
          <w:sz w:val="24"/>
          <w:szCs w:val="24"/>
        </w:rPr>
      </w:pPr>
    </w:p>
    <w:p w14:paraId="014EED7C" w14:textId="035CE3CB" w:rsidR="004B660B" w:rsidRDefault="004B660B" w:rsidP="004B660B">
      <w:pPr>
        <w:pStyle w:val="Corpotesto"/>
        <w:ind w:right="45" w:firstLine="567"/>
        <w:jc w:val="both"/>
        <w:rPr>
          <w:rFonts w:ascii="Arial" w:hAnsi="Arial" w:cs="Arial"/>
          <w:sz w:val="24"/>
          <w:szCs w:val="24"/>
        </w:rPr>
      </w:pPr>
      <w:r>
        <w:rPr>
          <w:rFonts w:ascii="Arial" w:hAnsi="Arial" w:cs="Arial"/>
          <w:sz w:val="24"/>
          <w:szCs w:val="24"/>
        </w:rPr>
        <w:t xml:space="preserve">Quindi l’elemento cardine del Regolamento 2018/842 è quello di istituire un </w:t>
      </w:r>
      <w:r w:rsidRPr="00C57951">
        <w:rPr>
          <w:rFonts w:ascii="Arial" w:hAnsi="Arial" w:cs="Arial"/>
          <w:i/>
          <w:iCs/>
          <w:sz w:val="24"/>
          <w:szCs w:val="24"/>
        </w:rPr>
        <w:t>mercato delle quote di CO</w:t>
      </w:r>
      <w:r w:rsidRPr="00423453">
        <w:rPr>
          <w:rFonts w:ascii="Arial" w:hAnsi="Arial" w:cs="Arial"/>
          <w:i/>
          <w:iCs/>
          <w:sz w:val="24"/>
          <w:szCs w:val="24"/>
          <w:vertAlign w:val="subscript"/>
        </w:rPr>
        <w:t>2</w:t>
      </w:r>
      <w:r w:rsidRPr="00C57951">
        <w:rPr>
          <w:rFonts w:ascii="Arial" w:hAnsi="Arial" w:cs="Arial"/>
          <w:i/>
          <w:iCs/>
          <w:sz w:val="24"/>
          <w:szCs w:val="24"/>
        </w:rPr>
        <w:t xml:space="preserve"> tra gli Stati membri dell’Unione</w:t>
      </w:r>
      <w:r>
        <w:rPr>
          <w:rFonts w:ascii="Arial" w:hAnsi="Arial" w:cs="Arial"/>
          <w:sz w:val="24"/>
          <w:szCs w:val="24"/>
        </w:rPr>
        <w:t xml:space="preserve">. </w:t>
      </w:r>
    </w:p>
    <w:p w14:paraId="7BE73C44" w14:textId="3BF33DCC" w:rsidR="009F69D8" w:rsidRPr="001E3CF4" w:rsidRDefault="00530705" w:rsidP="00222380">
      <w:pPr>
        <w:pStyle w:val="Corpotesto"/>
        <w:ind w:right="45" w:firstLine="567"/>
        <w:jc w:val="both"/>
        <w:rPr>
          <w:rFonts w:ascii="Arial" w:hAnsi="Arial" w:cs="Arial"/>
          <w:sz w:val="24"/>
          <w:szCs w:val="24"/>
        </w:rPr>
      </w:pPr>
      <w:r>
        <w:rPr>
          <w:rFonts w:ascii="Arial" w:hAnsi="Arial" w:cs="Arial"/>
          <w:sz w:val="24"/>
          <w:szCs w:val="24"/>
        </w:rPr>
        <w:t>Il Regolamento 841/2018</w:t>
      </w:r>
      <w:r w:rsidR="0071624A">
        <w:rPr>
          <w:rFonts w:ascii="Arial" w:hAnsi="Arial" w:cs="Arial"/>
          <w:sz w:val="24"/>
          <w:szCs w:val="24"/>
        </w:rPr>
        <w:t xml:space="preserve"> stabilisce </w:t>
      </w:r>
      <w:r w:rsidR="00222380">
        <w:rPr>
          <w:rFonts w:ascii="Arial" w:hAnsi="Arial" w:cs="Arial"/>
          <w:sz w:val="24"/>
          <w:szCs w:val="24"/>
        </w:rPr>
        <w:t>l</w:t>
      </w:r>
      <w:r w:rsidR="009F69D8" w:rsidRPr="001E3CF4">
        <w:rPr>
          <w:rFonts w:ascii="Arial" w:hAnsi="Arial" w:cs="Arial"/>
          <w:sz w:val="24"/>
          <w:szCs w:val="24"/>
        </w:rPr>
        <w:t xml:space="preserve">e regole per la contabilizzazione </w:t>
      </w:r>
      <w:r w:rsidR="00222380">
        <w:rPr>
          <w:rFonts w:ascii="Arial" w:hAnsi="Arial" w:cs="Arial"/>
          <w:sz w:val="24"/>
          <w:szCs w:val="24"/>
        </w:rPr>
        <w:t xml:space="preserve">del settore LULUCF, che </w:t>
      </w:r>
      <w:r w:rsidR="009F69D8" w:rsidRPr="001E3CF4">
        <w:rPr>
          <w:rFonts w:ascii="Arial" w:hAnsi="Arial" w:cs="Arial"/>
          <w:sz w:val="24"/>
          <w:szCs w:val="24"/>
        </w:rPr>
        <w:t>sono piuttosto articolate e fanno riferimento a più atti delegati, descritti nelle procedure di conformità dell’articolo 14. Per quanto attiene alla contabilizzazione dei terreni forestali, la procedura di base è la seguente:</w:t>
      </w:r>
    </w:p>
    <w:p w14:paraId="71000A3D" w14:textId="77777777" w:rsidR="009F69D8" w:rsidRPr="001E3CF4" w:rsidRDefault="009F69D8" w:rsidP="009F69D8">
      <w:pPr>
        <w:pStyle w:val="Corpotesto"/>
        <w:numPr>
          <w:ilvl w:val="0"/>
          <w:numId w:val="7"/>
        </w:numPr>
        <w:ind w:right="45"/>
        <w:jc w:val="both"/>
        <w:rPr>
          <w:rFonts w:ascii="Arial" w:hAnsi="Arial" w:cs="Arial"/>
          <w:sz w:val="24"/>
          <w:szCs w:val="24"/>
        </w:rPr>
      </w:pPr>
      <w:r w:rsidRPr="001E3CF4">
        <w:rPr>
          <w:rFonts w:ascii="Arial" w:hAnsi="Arial" w:cs="Arial"/>
          <w:sz w:val="24"/>
          <w:szCs w:val="24"/>
        </w:rPr>
        <w:t>Si calcolano le emissioni e gli assorbimenti per i periodi 2021-25 e 2026-30.</w:t>
      </w:r>
    </w:p>
    <w:p w14:paraId="2995CB02" w14:textId="77777777" w:rsidR="009F69D8" w:rsidRPr="001E3CF4" w:rsidRDefault="009F69D8" w:rsidP="009F69D8">
      <w:pPr>
        <w:pStyle w:val="Corpotesto"/>
        <w:numPr>
          <w:ilvl w:val="0"/>
          <w:numId w:val="7"/>
        </w:numPr>
        <w:ind w:right="45"/>
        <w:jc w:val="both"/>
        <w:rPr>
          <w:rFonts w:ascii="Arial" w:hAnsi="Arial" w:cs="Arial"/>
          <w:sz w:val="24"/>
          <w:szCs w:val="24"/>
        </w:rPr>
      </w:pPr>
      <w:r w:rsidRPr="001E3CF4">
        <w:rPr>
          <w:rFonts w:ascii="Arial" w:hAnsi="Arial" w:cs="Arial"/>
          <w:sz w:val="24"/>
          <w:szCs w:val="24"/>
        </w:rPr>
        <w:t>Per ogni periodo si sottrae il Livello di Riferimento (</w:t>
      </w:r>
      <w:r w:rsidRPr="001E3CF4">
        <w:rPr>
          <w:rFonts w:ascii="Arial" w:hAnsi="Arial" w:cs="Arial"/>
          <w:b/>
          <w:bCs/>
          <w:i/>
          <w:iCs/>
          <w:sz w:val="24"/>
          <w:szCs w:val="24"/>
        </w:rPr>
        <w:t xml:space="preserve">FRL - </w:t>
      </w:r>
      <w:proofErr w:type="spellStart"/>
      <w:r w:rsidRPr="001E3CF4">
        <w:rPr>
          <w:rFonts w:ascii="Arial" w:hAnsi="Arial" w:cs="Arial"/>
          <w:b/>
          <w:bCs/>
          <w:i/>
          <w:iCs/>
          <w:sz w:val="24"/>
          <w:szCs w:val="24"/>
        </w:rPr>
        <w:t>Forest</w:t>
      </w:r>
      <w:proofErr w:type="spellEnd"/>
      <w:r w:rsidRPr="001E3CF4">
        <w:rPr>
          <w:rFonts w:ascii="Arial" w:hAnsi="Arial" w:cs="Arial"/>
          <w:b/>
          <w:bCs/>
          <w:i/>
          <w:iCs/>
          <w:sz w:val="24"/>
          <w:szCs w:val="24"/>
        </w:rPr>
        <w:t xml:space="preserve"> Reference Level</w:t>
      </w:r>
      <w:r w:rsidRPr="001E3CF4">
        <w:rPr>
          <w:rFonts w:ascii="Arial" w:hAnsi="Arial" w:cs="Arial"/>
          <w:sz w:val="24"/>
          <w:szCs w:val="24"/>
        </w:rPr>
        <w:t>) moltiplicato per 5</w:t>
      </w:r>
      <w:r>
        <w:rPr>
          <w:rStyle w:val="Rimandonotaapidipagina"/>
          <w:rFonts w:ascii="Arial" w:hAnsi="Arial" w:cs="Arial"/>
          <w:sz w:val="24"/>
          <w:szCs w:val="24"/>
        </w:rPr>
        <w:footnoteReference w:id="3"/>
      </w:r>
      <w:r w:rsidRPr="001E3CF4">
        <w:rPr>
          <w:rFonts w:ascii="Arial" w:hAnsi="Arial" w:cs="Arial"/>
          <w:sz w:val="24"/>
          <w:szCs w:val="24"/>
        </w:rPr>
        <w:t>.</w:t>
      </w:r>
    </w:p>
    <w:p w14:paraId="7299E783" w14:textId="77777777" w:rsidR="009F69D8" w:rsidRPr="001E3CF4" w:rsidRDefault="009F69D8" w:rsidP="009F69D8">
      <w:pPr>
        <w:pStyle w:val="Corpotesto"/>
        <w:numPr>
          <w:ilvl w:val="0"/>
          <w:numId w:val="7"/>
        </w:numPr>
        <w:ind w:right="45"/>
        <w:jc w:val="both"/>
        <w:rPr>
          <w:rFonts w:ascii="Arial" w:hAnsi="Arial" w:cs="Arial"/>
          <w:sz w:val="24"/>
          <w:szCs w:val="24"/>
        </w:rPr>
      </w:pPr>
      <w:r w:rsidRPr="001E3CF4">
        <w:rPr>
          <w:rFonts w:ascii="Arial" w:hAnsi="Arial" w:cs="Arial"/>
          <w:sz w:val="24"/>
          <w:szCs w:val="24"/>
        </w:rPr>
        <w:lastRenderedPageBreak/>
        <w:t>Se il valore emergente è negativo, allora lo Stato Membro può utilizzare nella contabilizzazione relativa un valore non superiore al 3,5% delle emissioni dell’anno base stabilito in Allegato III.</w:t>
      </w:r>
    </w:p>
    <w:p w14:paraId="155379FD" w14:textId="77777777" w:rsidR="009F69D8" w:rsidRDefault="009F69D8" w:rsidP="009F69D8">
      <w:pPr>
        <w:pStyle w:val="Corpotesto"/>
        <w:ind w:right="45"/>
        <w:jc w:val="both"/>
        <w:rPr>
          <w:rFonts w:ascii="Arial" w:hAnsi="Arial" w:cs="Arial"/>
          <w:sz w:val="24"/>
          <w:szCs w:val="24"/>
        </w:rPr>
      </w:pPr>
    </w:p>
    <w:p w14:paraId="3E7B99E1" w14:textId="77777777" w:rsidR="009F69D8" w:rsidRDefault="009F69D8" w:rsidP="009F69D8">
      <w:pPr>
        <w:pStyle w:val="Corpotesto"/>
        <w:ind w:right="45" w:firstLine="567"/>
        <w:jc w:val="both"/>
        <w:rPr>
          <w:rFonts w:ascii="Arial" w:hAnsi="Arial" w:cs="Arial"/>
          <w:sz w:val="24"/>
          <w:szCs w:val="24"/>
        </w:rPr>
      </w:pPr>
      <w:r>
        <w:rPr>
          <w:rFonts w:ascii="Arial" w:hAnsi="Arial" w:cs="Arial"/>
          <w:sz w:val="24"/>
          <w:szCs w:val="24"/>
        </w:rPr>
        <w:t>In questa modalità di calcolo gli elementi da considerare sono chiaramente tre:</w:t>
      </w:r>
    </w:p>
    <w:p w14:paraId="26CB24B5" w14:textId="77777777" w:rsidR="009F69D8" w:rsidRDefault="009F69D8" w:rsidP="009F69D8">
      <w:pPr>
        <w:pStyle w:val="Corpotesto"/>
        <w:numPr>
          <w:ilvl w:val="0"/>
          <w:numId w:val="15"/>
        </w:numPr>
        <w:ind w:right="45"/>
        <w:jc w:val="both"/>
        <w:rPr>
          <w:rFonts w:ascii="Arial" w:hAnsi="Arial" w:cs="Arial"/>
          <w:sz w:val="24"/>
          <w:szCs w:val="24"/>
        </w:rPr>
      </w:pPr>
      <w:r>
        <w:rPr>
          <w:rFonts w:ascii="Arial" w:hAnsi="Arial" w:cs="Arial"/>
          <w:sz w:val="24"/>
          <w:szCs w:val="24"/>
        </w:rPr>
        <w:t xml:space="preserve">il </w:t>
      </w:r>
      <w:r w:rsidRPr="00A23620">
        <w:rPr>
          <w:rFonts w:ascii="Arial" w:hAnsi="Arial" w:cs="Arial"/>
          <w:i/>
          <w:iCs/>
          <w:sz w:val="24"/>
          <w:szCs w:val="24"/>
        </w:rPr>
        <w:t>sistema di gestione forestale scelto</w:t>
      </w:r>
      <w:r>
        <w:rPr>
          <w:rFonts w:ascii="Arial" w:hAnsi="Arial" w:cs="Arial"/>
          <w:sz w:val="24"/>
          <w:szCs w:val="24"/>
        </w:rPr>
        <w:t>, che può incrementare o meno lo stock di carbonio nelle foreste;</w:t>
      </w:r>
    </w:p>
    <w:p w14:paraId="5A4BF0AB" w14:textId="77777777" w:rsidR="009F69D8" w:rsidRDefault="009F69D8" w:rsidP="009F69D8">
      <w:pPr>
        <w:pStyle w:val="Corpotesto"/>
        <w:numPr>
          <w:ilvl w:val="0"/>
          <w:numId w:val="15"/>
        </w:numPr>
        <w:ind w:right="45"/>
        <w:jc w:val="both"/>
        <w:rPr>
          <w:rFonts w:ascii="Arial" w:hAnsi="Arial" w:cs="Arial"/>
          <w:sz w:val="24"/>
          <w:szCs w:val="24"/>
        </w:rPr>
      </w:pPr>
      <w:r>
        <w:rPr>
          <w:rFonts w:ascii="Arial" w:hAnsi="Arial" w:cs="Arial"/>
          <w:sz w:val="24"/>
          <w:szCs w:val="24"/>
        </w:rPr>
        <w:t xml:space="preserve">il </w:t>
      </w:r>
      <w:r w:rsidRPr="00A23620">
        <w:rPr>
          <w:rFonts w:ascii="Arial" w:hAnsi="Arial" w:cs="Arial"/>
          <w:i/>
          <w:iCs/>
          <w:sz w:val="24"/>
          <w:szCs w:val="24"/>
        </w:rPr>
        <w:t>modello scelto per la valutazione del carbon stock</w:t>
      </w:r>
      <w:r>
        <w:rPr>
          <w:rFonts w:ascii="Arial" w:hAnsi="Arial" w:cs="Arial"/>
          <w:sz w:val="24"/>
          <w:szCs w:val="24"/>
        </w:rPr>
        <w:t>, che deve seguire le linee guida dell’IPCC e le eventuali modifiche dell’IPCC adottate dalla Conferenza delle Parti dell’UCFCCC;</w:t>
      </w:r>
    </w:p>
    <w:p w14:paraId="2E5CC3D0" w14:textId="77777777" w:rsidR="009F69D8" w:rsidRDefault="009F69D8" w:rsidP="009F69D8">
      <w:pPr>
        <w:pStyle w:val="Corpotesto"/>
        <w:numPr>
          <w:ilvl w:val="0"/>
          <w:numId w:val="15"/>
        </w:numPr>
        <w:ind w:right="45"/>
        <w:jc w:val="both"/>
        <w:rPr>
          <w:rFonts w:ascii="Arial" w:hAnsi="Arial" w:cs="Arial"/>
          <w:sz w:val="24"/>
          <w:szCs w:val="24"/>
        </w:rPr>
      </w:pPr>
      <w:r>
        <w:rPr>
          <w:rFonts w:ascii="Arial" w:hAnsi="Arial" w:cs="Arial"/>
          <w:sz w:val="24"/>
          <w:szCs w:val="24"/>
        </w:rPr>
        <w:t xml:space="preserve">il </w:t>
      </w:r>
      <w:r w:rsidRPr="00A23620">
        <w:rPr>
          <w:rFonts w:ascii="Arial" w:hAnsi="Arial" w:cs="Arial"/>
          <w:i/>
          <w:iCs/>
          <w:sz w:val="24"/>
          <w:szCs w:val="24"/>
        </w:rPr>
        <w:t>valore del Livello di Riferimento per le Foreste</w:t>
      </w:r>
      <w:r>
        <w:rPr>
          <w:rFonts w:ascii="Arial" w:hAnsi="Arial" w:cs="Arial"/>
          <w:sz w:val="24"/>
          <w:szCs w:val="24"/>
        </w:rPr>
        <w:t xml:space="preserve"> (FRL). </w:t>
      </w:r>
    </w:p>
    <w:p w14:paraId="37D0C76C" w14:textId="77777777" w:rsidR="009F69D8" w:rsidRDefault="009F69D8" w:rsidP="009F69D8">
      <w:pPr>
        <w:pStyle w:val="Corpotesto"/>
        <w:ind w:right="45" w:firstLine="567"/>
        <w:jc w:val="both"/>
        <w:rPr>
          <w:rFonts w:ascii="Arial" w:hAnsi="Arial" w:cs="Arial"/>
          <w:sz w:val="24"/>
          <w:szCs w:val="24"/>
        </w:rPr>
      </w:pPr>
    </w:p>
    <w:p w14:paraId="5F7F514D" w14:textId="77777777" w:rsidR="009F69D8" w:rsidRPr="001E3CF4" w:rsidRDefault="009F69D8" w:rsidP="009F69D8">
      <w:pPr>
        <w:pStyle w:val="Corpotesto"/>
        <w:ind w:right="45" w:firstLine="567"/>
        <w:jc w:val="both"/>
        <w:rPr>
          <w:rFonts w:ascii="Arial" w:hAnsi="Arial" w:cs="Arial"/>
          <w:sz w:val="24"/>
          <w:szCs w:val="24"/>
        </w:rPr>
      </w:pPr>
      <w:r>
        <w:rPr>
          <w:rFonts w:ascii="Arial" w:hAnsi="Arial" w:cs="Arial"/>
          <w:sz w:val="24"/>
          <w:szCs w:val="24"/>
        </w:rPr>
        <w:t xml:space="preserve">Il calcolo del FRL per ogni SM viene effettuato da un organismo incaricato dal governo locale della </w:t>
      </w:r>
      <w:r w:rsidRPr="001E3CF4">
        <w:rPr>
          <w:rFonts w:ascii="Arial" w:hAnsi="Arial" w:cs="Arial"/>
          <w:sz w:val="24"/>
          <w:szCs w:val="24"/>
        </w:rPr>
        <w:t xml:space="preserve">compilazione di un </w:t>
      </w:r>
      <w:r w:rsidRPr="001E3CF4">
        <w:rPr>
          <w:rFonts w:ascii="Arial" w:hAnsi="Arial" w:cs="Arial"/>
          <w:b/>
          <w:bCs/>
          <w:i/>
          <w:iCs/>
          <w:sz w:val="24"/>
          <w:szCs w:val="24"/>
        </w:rPr>
        <w:t xml:space="preserve">National </w:t>
      </w:r>
      <w:proofErr w:type="spellStart"/>
      <w:r w:rsidRPr="001E3CF4">
        <w:rPr>
          <w:rFonts w:ascii="Arial" w:hAnsi="Arial" w:cs="Arial"/>
          <w:b/>
          <w:bCs/>
          <w:i/>
          <w:iCs/>
          <w:sz w:val="24"/>
          <w:szCs w:val="24"/>
        </w:rPr>
        <w:t>Forest</w:t>
      </w:r>
      <w:proofErr w:type="spellEnd"/>
      <w:r w:rsidRPr="001E3CF4">
        <w:rPr>
          <w:rFonts w:ascii="Arial" w:hAnsi="Arial" w:cs="Arial"/>
          <w:b/>
          <w:bCs/>
          <w:i/>
          <w:iCs/>
          <w:sz w:val="24"/>
          <w:szCs w:val="24"/>
        </w:rPr>
        <w:t xml:space="preserve"> Accounting Plan (NFAP)</w:t>
      </w:r>
      <w:r w:rsidRPr="001E3CF4">
        <w:rPr>
          <w:rFonts w:ascii="Arial" w:hAnsi="Arial" w:cs="Arial"/>
          <w:sz w:val="24"/>
          <w:szCs w:val="24"/>
        </w:rPr>
        <w:t>, all’interno del quale viene proposto il FRL dello SM</w:t>
      </w:r>
      <w:r>
        <w:rPr>
          <w:rFonts w:ascii="Arial" w:hAnsi="Arial" w:cs="Arial"/>
          <w:sz w:val="24"/>
          <w:szCs w:val="24"/>
        </w:rPr>
        <w:t>, con la descrizione della metodologia seguita e dei database utilizzati</w:t>
      </w:r>
      <w:r w:rsidRPr="001E3CF4">
        <w:rPr>
          <w:rFonts w:ascii="Arial" w:hAnsi="Arial" w:cs="Arial"/>
          <w:sz w:val="24"/>
          <w:szCs w:val="24"/>
        </w:rPr>
        <w:t xml:space="preserve">. </w:t>
      </w:r>
    </w:p>
    <w:p w14:paraId="325ED35C" w14:textId="03DC969C" w:rsidR="009F69D8" w:rsidRDefault="009F69D8" w:rsidP="009F69D8">
      <w:pPr>
        <w:pStyle w:val="Corpotesto"/>
        <w:ind w:right="45" w:firstLine="567"/>
        <w:jc w:val="both"/>
        <w:rPr>
          <w:rFonts w:ascii="Arial" w:hAnsi="Arial" w:cs="Arial"/>
          <w:sz w:val="24"/>
          <w:szCs w:val="24"/>
        </w:rPr>
      </w:pPr>
      <w:r w:rsidRPr="001E3CF4">
        <w:rPr>
          <w:rFonts w:ascii="Arial" w:hAnsi="Arial" w:cs="Arial"/>
          <w:sz w:val="24"/>
          <w:szCs w:val="24"/>
        </w:rPr>
        <w:t xml:space="preserve">Il calcolo del FRL è basato sulla continuazione delle pratiche di gestione forestale sostenibile documentate nel periodo 2000-2009 e tiene conto di fattori quali l’età delle foreste. </w:t>
      </w:r>
      <w:r>
        <w:rPr>
          <w:rFonts w:ascii="Arial" w:hAnsi="Arial" w:cs="Arial"/>
          <w:sz w:val="24"/>
          <w:szCs w:val="24"/>
        </w:rPr>
        <w:t>Nel Regolamento v</w:t>
      </w:r>
      <w:r w:rsidRPr="001E3CF4">
        <w:rPr>
          <w:rFonts w:ascii="Arial" w:hAnsi="Arial" w:cs="Arial"/>
          <w:sz w:val="24"/>
          <w:szCs w:val="24"/>
        </w:rPr>
        <w:t>engono</w:t>
      </w:r>
      <w:r>
        <w:rPr>
          <w:rFonts w:ascii="Arial" w:hAnsi="Arial" w:cs="Arial"/>
          <w:sz w:val="24"/>
          <w:szCs w:val="24"/>
        </w:rPr>
        <w:t xml:space="preserve"> anche</w:t>
      </w:r>
      <w:r w:rsidRPr="001E3CF4">
        <w:rPr>
          <w:rFonts w:ascii="Arial" w:hAnsi="Arial" w:cs="Arial"/>
          <w:sz w:val="24"/>
          <w:szCs w:val="24"/>
        </w:rPr>
        <w:t xml:space="preserve"> stabilite precise procedure di verifica dei valori proposti, che devono essere approvati dalla Commissione attraverso uno specifico Comitato (LULUCFEG)</w:t>
      </w:r>
      <w:r w:rsidRPr="001E3CF4">
        <w:rPr>
          <w:rStyle w:val="Rimandonotaapidipagina"/>
          <w:rFonts w:ascii="Arial" w:hAnsi="Arial" w:cs="Arial"/>
          <w:sz w:val="24"/>
          <w:szCs w:val="24"/>
        </w:rPr>
        <w:footnoteReference w:id="4"/>
      </w:r>
      <w:r w:rsidRPr="001E3CF4">
        <w:rPr>
          <w:rFonts w:ascii="Arial" w:hAnsi="Arial" w:cs="Arial"/>
          <w:sz w:val="24"/>
          <w:szCs w:val="24"/>
        </w:rPr>
        <w:t>.</w:t>
      </w:r>
    </w:p>
    <w:p w14:paraId="7ADF48D6" w14:textId="4A412F72" w:rsidR="009F69D8" w:rsidRDefault="009F69D8" w:rsidP="009F69D8">
      <w:pPr>
        <w:pStyle w:val="Corpotesto"/>
        <w:ind w:right="45" w:firstLine="567"/>
        <w:jc w:val="both"/>
        <w:rPr>
          <w:rFonts w:ascii="Arial" w:hAnsi="Arial" w:cs="Arial"/>
          <w:sz w:val="24"/>
          <w:szCs w:val="24"/>
        </w:rPr>
      </w:pPr>
      <w:r w:rsidRPr="001E3CF4">
        <w:rPr>
          <w:rFonts w:ascii="Arial" w:hAnsi="Arial" w:cs="Arial"/>
          <w:sz w:val="24"/>
          <w:szCs w:val="24"/>
        </w:rPr>
        <w:t>Questo calcolo è l’elemento cardine che lega il Reg. 841 e il Reg. 842 dal punto di vista delle compensazioni. Infatti, nel Reg. 842/2018 si stabilisce che se le</w:t>
      </w:r>
      <w:r>
        <w:rPr>
          <w:rFonts w:ascii="Arial" w:hAnsi="Arial" w:cs="Arial"/>
          <w:sz w:val="24"/>
          <w:szCs w:val="24"/>
        </w:rPr>
        <w:t xml:space="preserve"> emissioni</w:t>
      </w:r>
      <w:r w:rsidRPr="001E3CF4">
        <w:rPr>
          <w:rFonts w:ascii="Arial" w:hAnsi="Arial" w:cs="Arial"/>
          <w:sz w:val="24"/>
          <w:szCs w:val="24"/>
        </w:rPr>
        <w:t xml:space="preserve"> di uno SM superano la sua quota annuale è possibile tenere conto per l’anno in questione degli A</w:t>
      </w:r>
      <w:r>
        <w:rPr>
          <w:rFonts w:ascii="Arial" w:hAnsi="Arial" w:cs="Arial"/>
          <w:sz w:val="24"/>
          <w:szCs w:val="24"/>
        </w:rPr>
        <w:t>ssorbimenti</w:t>
      </w:r>
      <w:r w:rsidRPr="001E3CF4">
        <w:rPr>
          <w:rFonts w:ascii="Arial" w:hAnsi="Arial" w:cs="Arial"/>
          <w:sz w:val="24"/>
          <w:szCs w:val="24"/>
        </w:rPr>
        <w:t xml:space="preserve"> netti dei suoli LULUCF, tra cui i terreni forestali gestiti</w:t>
      </w:r>
      <w:r w:rsidR="00280B9D">
        <w:rPr>
          <w:rFonts w:ascii="Arial" w:hAnsi="Arial" w:cs="Arial"/>
          <w:sz w:val="24"/>
          <w:szCs w:val="24"/>
        </w:rPr>
        <w:t>, ma per o</w:t>
      </w:r>
      <w:r>
        <w:rPr>
          <w:rFonts w:ascii="Arial" w:hAnsi="Arial" w:cs="Arial"/>
          <w:sz w:val="24"/>
          <w:szCs w:val="24"/>
        </w:rPr>
        <w:t>gni SM è stabilito un limite a questo meccanismo di flessibilità, che per l’Italia è pari a 11,5 tonnellate di CO</w:t>
      </w:r>
      <w:r w:rsidRPr="00423453">
        <w:rPr>
          <w:rFonts w:ascii="Arial" w:hAnsi="Arial" w:cs="Arial"/>
          <w:sz w:val="24"/>
          <w:szCs w:val="24"/>
          <w:vertAlign w:val="subscript"/>
        </w:rPr>
        <w:t>2</w:t>
      </w:r>
      <w:r>
        <w:rPr>
          <w:rFonts w:ascii="Arial" w:hAnsi="Arial" w:cs="Arial"/>
          <w:sz w:val="24"/>
          <w:szCs w:val="24"/>
        </w:rPr>
        <w:t xml:space="preserve"> </w:t>
      </w:r>
      <w:proofErr w:type="spellStart"/>
      <w:proofErr w:type="gramStart"/>
      <w:r>
        <w:rPr>
          <w:rFonts w:ascii="Arial" w:hAnsi="Arial" w:cs="Arial"/>
          <w:sz w:val="24"/>
          <w:szCs w:val="24"/>
        </w:rPr>
        <w:t>eq</w:t>
      </w:r>
      <w:proofErr w:type="spellEnd"/>
      <w:r>
        <w:rPr>
          <w:rFonts w:ascii="Arial" w:hAnsi="Arial" w:cs="Arial"/>
          <w:sz w:val="24"/>
          <w:szCs w:val="24"/>
        </w:rPr>
        <w:t>.</w:t>
      </w:r>
      <w:r w:rsidR="009E67F0">
        <w:rPr>
          <w:rFonts w:ascii="Arial" w:hAnsi="Arial" w:cs="Arial"/>
          <w:sz w:val="24"/>
          <w:szCs w:val="24"/>
        </w:rPr>
        <w:t>.</w:t>
      </w:r>
      <w:proofErr w:type="gramEnd"/>
      <w:r w:rsidR="009E67F0">
        <w:rPr>
          <w:rFonts w:ascii="Arial" w:hAnsi="Arial" w:cs="Arial"/>
          <w:sz w:val="24"/>
          <w:szCs w:val="24"/>
        </w:rPr>
        <w:t xml:space="preserve"> </w:t>
      </w:r>
      <w:r w:rsidR="00912A99">
        <w:rPr>
          <w:rFonts w:ascii="Arial" w:hAnsi="Arial" w:cs="Arial"/>
          <w:sz w:val="24"/>
          <w:szCs w:val="24"/>
        </w:rPr>
        <w:t xml:space="preserve">Tale valore </w:t>
      </w:r>
      <w:r>
        <w:rPr>
          <w:rFonts w:ascii="Arial" w:hAnsi="Arial" w:cs="Arial"/>
          <w:sz w:val="24"/>
          <w:szCs w:val="24"/>
        </w:rPr>
        <w:t xml:space="preserve">è utilizzabile per intero perché la gestione forestale sostenibile stimata da ISPRA è assai oltre </w:t>
      </w:r>
      <w:r w:rsidR="00912A99">
        <w:rPr>
          <w:rFonts w:ascii="Arial" w:hAnsi="Arial" w:cs="Arial"/>
          <w:sz w:val="24"/>
          <w:szCs w:val="24"/>
        </w:rPr>
        <w:t>la soglia di -11,5 milioni</w:t>
      </w:r>
      <w:r>
        <w:rPr>
          <w:rFonts w:ascii="Arial" w:hAnsi="Arial" w:cs="Arial"/>
          <w:sz w:val="24"/>
          <w:szCs w:val="24"/>
        </w:rPr>
        <w:t xml:space="preserve">. </w:t>
      </w:r>
    </w:p>
    <w:p w14:paraId="76846941" w14:textId="1F4D1F13" w:rsidR="004C113B" w:rsidRPr="00DF56A5" w:rsidRDefault="00BC7517" w:rsidP="004C113B">
      <w:pPr>
        <w:pStyle w:val="Corpotesto"/>
        <w:ind w:right="45" w:firstLine="567"/>
        <w:jc w:val="both"/>
        <w:rPr>
          <w:rFonts w:ascii="Arial" w:hAnsi="Arial" w:cs="Arial"/>
          <w:sz w:val="24"/>
          <w:szCs w:val="24"/>
        </w:rPr>
      </w:pPr>
      <w:r>
        <w:rPr>
          <w:rFonts w:ascii="Arial" w:hAnsi="Arial" w:cs="Arial"/>
          <w:sz w:val="24"/>
          <w:szCs w:val="24"/>
        </w:rPr>
        <w:t xml:space="preserve">A livello nazionale, </w:t>
      </w:r>
      <w:r w:rsidR="00140704">
        <w:rPr>
          <w:rFonts w:ascii="Arial" w:hAnsi="Arial" w:cs="Arial"/>
          <w:sz w:val="24"/>
          <w:szCs w:val="24"/>
        </w:rPr>
        <w:t>la gestione e il pagamento dei servizi ecosistemici (inclusi quelli sulla CO</w:t>
      </w:r>
      <w:r w:rsidR="00847EB2" w:rsidRPr="00847EB2">
        <w:rPr>
          <w:rFonts w:ascii="Arial" w:hAnsi="Arial" w:cs="Arial"/>
          <w:sz w:val="24"/>
          <w:szCs w:val="24"/>
          <w:vertAlign w:val="subscript"/>
        </w:rPr>
        <w:t>2</w:t>
      </w:r>
      <w:r w:rsidR="00847EB2">
        <w:rPr>
          <w:rFonts w:ascii="Arial" w:hAnsi="Arial" w:cs="Arial"/>
          <w:sz w:val="24"/>
          <w:szCs w:val="24"/>
        </w:rPr>
        <w:t xml:space="preserve">) è stabilito per la prima volta dalla </w:t>
      </w:r>
      <w:r w:rsidR="004C113B" w:rsidRPr="00DF56A5">
        <w:rPr>
          <w:rFonts w:ascii="Arial" w:hAnsi="Arial" w:cs="Arial"/>
          <w:sz w:val="24"/>
          <w:szCs w:val="24"/>
        </w:rPr>
        <w:t xml:space="preserve">legge 221/2015 </w:t>
      </w:r>
      <w:r w:rsidR="004C113B" w:rsidRPr="00DF56A5">
        <w:rPr>
          <w:rFonts w:ascii="Arial" w:hAnsi="Arial" w:cs="Arial"/>
          <w:i/>
          <w:iCs/>
          <w:sz w:val="24"/>
          <w:szCs w:val="24"/>
        </w:rPr>
        <w:t>Disposizioni in materia ambientale per promuovere misure di green economy e per il contenimento dell'uso eccessivo di risorse naturali</w:t>
      </w:r>
      <w:r w:rsidR="004C113B" w:rsidRPr="00DF56A5">
        <w:rPr>
          <w:rFonts w:ascii="Arial" w:hAnsi="Arial" w:cs="Arial"/>
          <w:sz w:val="24"/>
          <w:szCs w:val="24"/>
        </w:rPr>
        <w:t xml:space="preserve"> detto anche </w:t>
      </w:r>
      <w:r w:rsidR="004C113B" w:rsidRPr="00DF56A5">
        <w:rPr>
          <w:rFonts w:ascii="Arial" w:hAnsi="Arial" w:cs="Arial"/>
          <w:i/>
          <w:iCs/>
          <w:sz w:val="24"/>
          <w:szCs w:val="24"/>
        </w:rPr>
        <w:t>Collegato Ambientale</w:t>
      </w:r>
      <w:r w:rsidR="004C113B" w:rsidRPr="00DF56A5">
        <w:rPr>
          <w:rFonts w:ascii="Arial" w:hAnsi="Arial" w:cs="Arial"/>
          <w:sz w:val="24"/>
          <w:szCs w:val="24"/>
        </w:rPr>
        <w:t xml:space="preserve">, all’art. 70 dichiara di “conferire delega al Governo per l'introduzione di sistemi di remunerazione dei servizi ecosistemici e ambientali”. I crediti di sostenibilità possono essere annoverati tra queste forme di pagamento, sebbene, come già detto, questa delega non si è concretizzata in un set di norme attuative. </w:t>
      </w:r>
    </w:p>
    <w:p w14:paraId="6D7BC34B" w14:textId="1AEE39B5" w:rsidR="006C2409" w:rsidRDefault="00FD5B61" w:rsidP="006C2409">
      <w:pPr>
        <w:pStyle w:val="Corpotesto"/>
        <w:ind w:right="45" w:firstLine="567"/>
        <w:jc w:val="both"/>
        <w:rPr>
          <w:rFonts w:ascii="Arial" w:hAnsi="Arial" w:cs="Arial"/>
          <w:sz w:val="24"/>
          <w:szCs w:val="24"/>
        </w:rPr>
      </w:pPr>
      <w:r>
        <w:rPr>
          <w:rFonts w:ascii="Arial" w:hAnsi="Arial" w:cs="Arial"/>
          <w:sz w:val="24"/>
          <w:szCs w:val="24"/>
        </w:rPr>
        <w:t>Ma l</w:t>
      </w:r>
      <w:r w:rsidR="006C2409" w:rsidRPr="00DF56A5">
        <w:rPr>
          <w:rFonts w:ascii="Arial" w:hAnsi="Arial" w:cs="Arial"/>
          <w:sz w:val="24"/>
          <w:szCs w:val="24"/>
        </w:rPr>
        <w:t>a norma nazionale più rilevante a tal riguardo è il D.L. n. 34 del 3 aprile 2018 “</w:t>
      </w:r>
      <w:r w:rsidR="006C2409" w:rsidRPr="00DF56A5">
        <w:rPr>
          <w:rFonts w:ascii="Arial" w:eastAsiaTheme="minorHAnsi" w:hAnsi="Arial" w:cs="Arial"/>
          <w:sz w:val="24"/>
          <w:szCs w:val="24"/>
        </w:rPr>
        <w:t xml:space="preserve">Testo unico in materia di foreste e filiere forestali”, spesso abbreviato in TUFF. </w:t>
      </w:r>
      <w:r w:rsidR="006C2409">
        <w:rPr>
          <w:rFonts w:ascii="Arial" w:hAnsi="Arial" w:cs="Arial"/>
          <w:sz w:val="24"/>
          <w:szCs w:val="24"/>
        </w:rPr>
        <w:t>Il</w:t>
      </w:r>
      <w:r w:rsidR="006C2409" w:rsidRPr="00DF56A5">
        <w:rPr>
          <w:rFonts w:ascii="Arial" w:hAnsi="Arial" w:cs="Arial"/>
          <w:sz w:val="24"/>
          <w:szCs w:val="24"/>
        </w:rPr>
        <w:t xml:space="preserve"> testo riconosce nei criteri internazionali della Gestione Forestale Sostenibile lo strumento operativo per garantire sicurezza, tutela, conservazione e sviluppo, e insiste nel promuovere una corretta e sostenibile gestione delle foreste quale strumento efficace a garantire le attuali necessità di tutela e governo del territorio, assetto idrogeologico e prevenzione antincendio, nonché per rispondere alle moderne esigenze economiche, produttive e occupazionali delle aree interne e di montagna e ai precisi obblighi internazionali ed europei assunti dal Governo italiano in materia di ambiente, bioeconomia, green economy e in particolare di lotta al cambiamento climatico. </w:t>
      </w:r>
    </w:p>
    <w:p w14:paraId="592C8A6D" w14:textId="7F525575" w:rsidR="006C2409" w:rsidRPr="00DF56A5" w:rsidRDefault="00FD5B61" w:rsidP="006C2409">
      <w:pPr>
        <w:pStyle w:val="Corpotesto"/>
        <w:ind w:right="45" w:firstLine="567"/>
        <w:jc w:val="both"/>
        <w:rPr>
          <w:rFonts w:ascii="Arial" w:hAnsi="Arial" w:cs="Arial"/>
          <w:sz w:val="24"/>
          <w:szCs w:val="24"/>
        </w:rPr>
      </w:pPr>
      <w:r>
        <w:rPr>
          <w:rFonts w:ascii="Arial" w:hAnsi="Arial" w:cs="Arial"/>
          <w:sz w:val="24"/>
          <w:szCs w:val="24"/>
        </w:rPr>
        <w:lastRenderedPageBreak/>
        <w:t>Lo strumento di attuazione del TUFF è la Strategia Forestale Nazionale</w:t>
      </w:r>
      <w:r w:rsidR="00224910">
        <w:rPr>
          <w:rFonts w:ascii="Arial" w:hAnsi="Arial" w:cs="Arial"/>
          <w:sz w:val="24"/>
          <w:szCs w:val="24"/>
        </w:rPr>
        <w:t xml:space="preserve"> che nell’</w:t>
      </w:r>
      <w:r w:rsidR="006C2409" w:rsidRPr="00DF56A5">
        <w:rPr>
          <w:rFonts w:ascii="Arial" w:hAnsi="Arial" w:cs="Arial"/>
          <w:sz w:val="24"/>
          <w:szCs w:val="24"/>
        </w:rPr>
        <w:t xml:space="preserve">ultima versione riconosce esplicitamente il ruolo dei Regolamenti 841/2018 e 842/2018 </w:t>
      </w:r>
      <w:r w:rsidR="006C2409">
        <w:rPr>
          <w:rFonts w:ascii="Arial" w:hAnsi="Arial" w:cs="Arial"/>
          <w:sz w:val="24"/>
          <w:szCs w:val="24"/>
        </w:rPr>
        <w:t>e</w:t>
      </w:r>
      <w:r w:rsidR="006C2409" w:rsidRPr="00DF56A5">
        <w:rPr>
          <w:rFonts w:ascii="Arial" w:hAnsi="Arial" w:cs="Arial"/>
          <w:sz w:val="24"/>
          <w:szCs w:val="24"/>
        </w:rPr>
        <w:t>, più</w:t>
      </w:r>
      <w:r w:rsidR="006C2409">
        <w:rPr>
          <w:rFonts w:ascii="Arial" w:hAnsi="Arial" w:cs="Arial"/>
          <w:sz w:val="24"/>
          <w:szCs w:val="24"/>
        </w:rPr>
        <w:t xml:space="preserve"> in</w:t>
      </w:r>
      <w:r w:rsidR="006C2409" w:rsidRPr="00DF56A5">
        <w:rPr>
          <w:rFonts w:ascii="Arial" w:hAnsi="Arial" w:cs="Arial"/>
          <w:sz w:val="24"/>
          <w:szCs w:val="24"/>
        </w:rPr>
        <w:t xml:space="preserve"> generale, che</w:t>
      </w:r>
      <w:r w:rsidR="006C2409">
        <w:rPr>
          <w:rFonts w:ascii="Arial" w:hAnsi="Arial" w:cs="Arial"/>
          <w:sz w:val="24"/>
          <w:szCs w:val="24"/>
        </w:rPr>
        <w:t xml:space="preserve"> il</w:t>
      </w:r>
      <w:r w:rsidR="006C2409" w:rsidRPr="00DF56A5">
        <w:rPr>
          <w:rFonts w:ascii="Arial" w:hAnsi="Arial" w:cs="Arial"/>
          <w:sz w:val="24"/>
          <w:szCs w:val="24"/>
        </w:rPr>
        <w:t xml:space="preserve"> settore LULUCF è stato incluso dall’Italia nella Strategia di decarbonizzazione a lungo termine </w:t>
      </w:r>
      <w:r w:rsidR="006C2409">
        <w:rPr>
          <w:rFonts w:ascii="Arial" w:hAnsi="Arial" w:cs="Arial"/>
          <w:sz w:val="24"/>
          <w:szCs w:val="24"/>
        </w:rPr>
        <w:t>individuando</w:t>
      </w:r>
      <w:r w:rsidR="006C2409" w:rsidRPr="00DF56A5">
        <w:rPr>
          <w:rFonts w:ascii="Arial" w:hAnsi="Arial" w:cs="Arial"/>
          <w:sz w:val="24"/>
          <w:szCs w:val="24"/>
        </w:rPr>
        <w:t xml:space="preserve"> i possibili percorsi per la “neutralità climatica” entro il 2050, in linea con gli orientamenti politici europei e nazionali. </w:t>
      </w:r>
    </w:p>
    <w:p w14:paraId="1CC76226" w14:textId="77777777" w:rsidR="006C2409" w:rsidRPr="00DF56A5" w:rsidRDefault="006C2409" w:rsidP="006C2409">
      <w:pPr>
        <w:pStyle w:val="Corpotesto"/>
        <w:ind w:right="45" w:firstLine="567"/>
        <w:jc w:val="both"/>
        <w:rPr>
          <w:rFonts w:ascii="Arial" w:hAnsi="Arial" w:cs="Arial"/>
          <w:sz w:val="24"/>
          <w:szCs w:val="24"/>
        </w:rPr>
      </w:pPr>
      <w:r w:rsidRPr="00DF56A5">
        <w:rPr>
          <w:rFonts w:ascii="Arial" w:hAnsi="Arial" w:cs="Arial"/>
          <w:sz w:val="24"/>
          <w:szCs w:val="24"/>
        </w:rPr>
        <w:t xml:space="preserve">L’obbiettivo principale della SFN è quello di promuovere l’integrazione tra conservazione della biodiversità, </w:t>
      </w:r>
      <w:r w:rsidRPr="00DF56A5">
        <w:rPr>
          <w:rFonts w:ascii="Arial" w:hAnsi="Arial" w:cs="Arial"/>
          <w:b/>
          <w:bCs/>
          <w:sz w:val="24"/>
          <w:szCs w:val="24"/>
        </w:rPr>
        <w:t xml:space="preserve">Gestione Forestale Sostenibile </w:t>
      </w:r>
      <w:r w:rsidRPr="00DF56A5">
        <w:rPr>
          <w:rFonts w:ascii="Arial" w:hAnsi="Arial" w:cs="Arial"/>
          <w:sz w:val="24"/>
          <w:szCs w:val="24"/>
        </w:rPr>
        <w:t xml:space="preserve">e di </w:t>
      </w:r>
      <w:r w:rsidRPr="00DF56A5">
        <w:rPr>
          <w:rFonts w:ascii="Arial" w:hAnsi="Arial" w:cs="Arial"/>
          <w:b/>
          <w:bCs/>
          <w:sz w:val="24"/>
          <w:szCs w:val="24"/>
        </w:rPr>
        <w:t xml:space="preserve">Servizi Ecosistemici materiali e immateriali dalle foreste </w:t>
      </w:r>
      <w:r w:rsidRPr="00DF56A5">
        <w:rPr>
          <w:rFonts w:ascii="Arial" w:hAnsi="Arial" w:cs="Arial"/>
          <w:sz w:val="24"/>
          <w:szCs w:val="24"/>
        </w:rPr>
        <w:t xml:space="preserve">(pag. 13 SFN) ed esplicita che il perseguimento degli </w:t>
      </w:r>
      <w:r w:rsidRPr="00DF56A5">
        <w:rPr>
          <w:rFonts w:ascii="Arial" w:hAnsi="Arial" w:cs="Arial"/>
          <w:b/>
          <w:bCs/>
          <w:sz w:val="24"/>
          <w:szCs w:val="24"/>
        </w:rPr>
        <w:t xml:space="preserve">Obiettivi generali </w:t>
      </w:r>
      <w:r w:rsidRPr="00DF56A5">
        <w:rPr>
          <w:rFonts w:ascii="Arial" w:hAnsi="Arial" w:cs="Arial"/>
          <w:sz w:val="24"/>
          <w:szCs w:val="24"/>
        </w:rPr>
        <w:t xml:space="preserve">trova attuazioni prioritariamente nei </w:t>
      </w:r>
      <w:r w:rsidRPr="00DF56A5">
        <w:rPr>
          <w:rFonts w:ascii="Arial" w:hAnsi="Arial" w:cs="Arial"/>
          <w:b/>
          <w:bCs/>
          <w:sz w:val="24"/>
          <w:szCs w:val="24"/>
        </w:rPr>
        <w:t>Programmi Forestali Regionali</w:t>
      </w:r>
      <w:r w:rsidRPr="00DF56A5">
        <w:rPr>
          <w:rStyle w:val="Rimandonotaapidipagina"/>
          <w:rFonts w:ascii="Arial" w:hAnsi="Arial" w:cs="Arial"/>
          <w:b/>
          <w:bCs/>
          <w:sz w:val="24"/>
          <w:szCs w:val="24"/>
        </w:rPr>
        <w:footnoteReference w:id="5"/>
      </w:r>
      <w:r w:rsidRPr="00DF56A5">
        <w:rPr>
          <w:rFonts w:ascii="Arial" w:hAnsi="Arial" w:cs="Arial"/>
          <w:sz w:val="24"/>
          <w:szCs w:val="24"/>
        </w:rPr>
        <w:t xml:space="preserve">. </w:t>
      </w:r>
    </w:p>
    <w:p w14:paraId="573BA4DC" w14:textId="64A7A551" w:rsidR="00642660" w:rsidRDefault="00642660" w:rsidP="00576769">
      <w:pPr>
        <w:pStyle w:val="Corpotesto"/>
        <w:ind w:right="45" w:firstLine="567"/>
        <w:jc w:val="both"/>
        <w:rPr>
          <w:rFonts w:ascii="Arial" w:eastAsiaTheme="minorHAnsi" w:hAnsi="Arial" w:cs="Arial"/>
          <w:sz w:val="24"/>
          <w:szCs w:val="24"/>
        </w:rPr>
      </w:pPr>
      <w:r>
        <w:rPr>
          <w:rFonts w:ascii="Arial" w:hAnsi="Arial" w:cs="Arial"/>
          <w:sz w:val="24"/>
          <w:szCs w:val="24"/>
        </w:rPr>
        <w:t>A livello regionale gli strumenti della GFS sono i Piani Forestali Regionali. Le regioni più avanzate in tema di gestione forestale hanno recentemente recepito la GFS e il suo raccordo con il clima, anche se solo a livello di indirizzo. Ad esempio, nel Piano della Regione Emilia</w:t>
      </w:r>
      <w:r w:rsidR="00660FB7">
        <w:rPr>
          <w:rFonts w:ascii="Arial" w:hAnsi="Arial" w:cs="Arial"/>
          <w:sz w:val="24"/>
          <w:szCs w:val="24"/>
        </w:rPr>
        <w:t>-</w:t>
      </w:r>
      <w:r>
        <w:rPr>
          <w:rFonts w:ascii="Arial" w:hAnsi="Arial" w:cs="Arial"/>
          <w:sz w:val="24"/>
          <w:szCs w:val="24"/>
        </w:rPr>
        <w:t>Romagna del 2020, tra gli indirizzi si citano esplicitamente</w:t>
      </w:r>
      <w:r w:rsidR="00E73D41">
        <w:rPr>
          <w:rFonts w:ascii="Arial" w:hAnsi="Arial" w:cs="Arial"/>
          <w:sz w:val="24"/>
          <w:szCs w:val="24"/>
        </w:rPr>
        <w:t xml:space="preserve"> </w:t>
      </w:r>
      <w:r w:rsidR="0021581B">
        <w:rPr>
          <w:rFonts w:ascii="Arial" w:hAnsi="Arial" w:cs="Arial"/>
          <w:sz w:val="24"/>
          <w:szCs w:val="24"/>
        </w:rPr>
        <w:t>la “m</w:t>
      </w:r>
      <w:r w:rsidRPr="00E73D41">
        <w:rPr>
          <w:rFonts w:ascii="Arial" w:eastAsiaTheme="minorHAnsi" w:hAnsi="Arial" w:cs="Arial"/>
          <w:sz w:val="24"/>
          <w:szCs w:val="24"/>
        </w:rPr>
        <w:t>itiga</w:t>
      </w:r>
      <w:r w:rsidR="0021581B">
        <w:rPr>
          <w:rFonts w:ascii="Arial" w:eastAsiaTheme="minorHAnsi" w:hAnsi="Arial" w:cs="Arial"/>
          <w:sz w:val="24"/>
          <w:szCs w:val="24"/>
        </w:rPr>
        <w:t>zion</w:t>
      </w:r>
      <w:r w:rsidRPr="00E73D41">
        <w:rPr>
          <w:rFonts w:ascii="Arial" w:eastAsiaTheme="minorHAnsi" w:hAnsi="Arial" w:cs="Arial"/>
          <w:sz w:val="24"/>
          <w:szCs w:val="24"/>
        </w:rPr>
        <w:t xml:space="preserve">e </w:t>
      </w:r>
      <w:r w:rsidR="0021581B">
        <w:rPr>
          <w:rFonts w:ascii="Arial" w:eastAsiaTheme="minorHAnsi" w:hAnsi="Arial" w:cs="Arial"/>
          <w:sz w:val="24"/>
          <w:szCs w:val="24"/>
        </w:rPr>
        <w:t>dei</w:t>
      </w:r>
      <w:r w:rsidRPr="00E73D41">
        <w:rPr>
          <w:rFonts w:ascii="Arial" w:eastAsiaTheme="minorHAnsi" w:hAnsi="Arial" w:cs="Arial"/>
          <w:sz w:val="24"/>
          <w:szCs w:val="24"/>
        </w:rPr>
        <w:t xml:space="preserve"> cambiamenti climatici e </w:t>
      </w:r>
      <w:r w:rsidR="0021581B">
        <w:rPr>
          <w:rFonts w:ascii="Arial" w:eastAsiaTheme="minorHAnsi" w:hAnsi="Arial" w:cs="Arial"/>
          <w:sz w:val="24"/>
          <w:szCs w:val="24"/>
        </w:rPr>
        <w:t>l’</w:t>
      </w:r>
      <w:r w:rsidRPr="00E73D41">
        <w:rPr>
          <w:rFonts w:ascii="Arial" w:eastAsiaTheme="minorHAnsi" w:hAnsi="Arial" w:cs="Arial"/>
          <w:sz w:val="24"/>
          <w:szCs w:val="24"/>
        </w:rPr>
        <w:t>aument</w:t>
      </w:r>
      <w:r w:rsidR="0021581B">
        <w:rPr>
          <w:rFonts w:ascii="Arial" w:eastAsiaTheme="minorHAnsi" w:hAnsi="Arial" w:cs="Arial"/>
          <w:sz w:val="24"/>
          <w:szCs w:val="24"/>
        </w:rPr>
        <w:t>o</w:t>
      </w:r>
      <w:r w:rsidRPr="00E73D41">
        <w:rPr>
          <w:rFonts w:ascii="Arial" w:eastAsiaTheme="minorHAnsi" w:hAnsi="Arial" w:cs="Arial"/>
          <w:sz w:val="24"/>
          <w:szCs w:val="24"/>
        </w:rPr>
        <w:t xml:space="preserve"> la resilienza delle foreste</w:t>
      </w:r>
      <w:r w:rsidR="00576769">
        <w:rPr>
          <w:rFonts w:ascii="Arial" w:eastAsiaTheme="minorHAnsi" w:hAnsi="Arial" w:cs="Arial"/>
          <w:sz w:val="24"/>
          <w:szCs w:val="24"/>
        </w:rPr>
        <w:t xml:space="preserve">. </w:t>
      </w:r>
      <w:r>
        <w:rPr>
          <w:rFonts w:ascii="Arial" w:hAnsi="Arial" w:cs="Arial"/>
          <w:sz w:val="24"/>
          <w:szCs w:val="24"/>
        </w:rPr>
        <w:t xml:space="preserve">Inoltre, si considera esplicitamente </w:t>
      </w:r>
      <w:r w:rsidRPr="006A2CD9">
        <w:rPr>
          <w:rFonts w:ascii="Arial" w:eastAsiaTheme="minorHAnsi" w:hAnsi="Arial" w:cs="Arial"/>
          <w:sz w:val="24"/>
          <w:szCs w:val="24"/>
        </w:rPr>
        <w:t>il riconoscimento dei servizi ecosistemici resi dalle</w:t>
      </w:r>
      <w:r>
        <w:rPr>
          <w:rFonts w:ascii="Arial" w:eastAsiaTheme="minorHAnsi" w:hAnsi="Arial" w:cs="Arial"/>
          <w:sz w:val="24"/>
          <w:szCs w:val="24"/>
        </w:rPr>
        <w:t xml:space="preserve"> </w:t>
      </w:r>
      <w:r w:rsidRPr="006A2CD9">
        <w:rPr>
          <w:rFonts w:ascii="Arial" w:eastAsiaTheme="minorHAnsi" w:hAnsi="Arial" w:cs="Arial"/>
          <w:sz w:val="24"/>
          <w:szCs w:val="24"/>
        </w:rPr>
        <w:t>foreste</w:t>
      </w:r>
      <w:r>
        <w:rPr>
          <w:rFonts w:ascii="Arial" w:eastAsiaTheme="minorHAnsi" w:hAnsi="Arial" w:cs="Arial"/>
          <w:sz w:val="24"/>
          <w:szCs w:val="24"/>
        </w:rPr>
        <w:t xml:space="preserve"> mediante strumenti quali</w:t>
      </w:r>
      <w:r w:rsidR="00576769">
        <w:rPr>
          <w:rFonts w:ascii="Arial" w:eastAsiaTheme="minorHAnsi" w:hAnsi="Arial" w:cs="Arial"/>
          <w:sz w:val="24"/>
          <w:szCs w:val="24"/>
        </w:rPr>
        <w:t xml:space="preserve"> c</w:t>
      </w:r>
      <w:r w:rsidRPr="006A2CD9">
        <w:rPr>
          <w:rFonts w:ascii="Arial" w:eastAsiaTheme="minorHAnsi" w:hAnsi="Arial" w:cs="Arial"/>
          <w:sz w:val="24"/>
          <w:szCs w:val="24"/>
        </w:rPr>
        <w:t>rediti di carbonio</w:t>
      </w:r>
      <w:r>
        <w:rPr>
          <w:rFonts w:ascii="Arial" w:eastAsiaTheme="minorHAnsi" w:hAnsi="Arial" w:cs="Arial"/>
          <w:sz w:val="24"/>
          <w:szCs w:val="24"/>
        </w:rPr>
        <w:t>.</w:t>
      </w:r>
    </w:p>
    <w:p w14:paraId="49B31559" w14:textId="79A312B7" w:rsidR="00642660" w:rsidRDefault="00642660" w:rsidP="00642660">
      <w:pPr>
        <w:pStyle w:val="Corpotesto"/>
        <w:ind w:right="45" w:firstLine="567"/>
        <w:jc w:val="both"/>
        <w:rPr>
          <w:rFonts w:ascii="Arial" w:hAnsi="Arial" w:cs="Arial"/>
          <w:sz w:val="24"/>
          <w:szCs w:val="24"/>
        </w:rPr>
      </w:pPr>
      <w:r>
        <w:rPr>
          <w:rFonts w:ascii="Arial" w:hAnsi="Arial" w:cs="Arial"/>
          <w:sz w:val="24"/>
          <w:szCs w:val="24"/>
        </w:rPr>
        <w:t>Anche nella Regione Autonoma Friuli Venezia Giulia si è approcciato il tema dei servizi ecosistemi e il loro pagamento l</w:t>
      </w:r>
      <w:r w:rsidRPr="00811EED">
        <w:rPr>
          <w:rFonts w:ascii="Arial" w:hAnsi="Arial" w:cs="Arial"/>
          <w:sz w:val="24"/>
          <w:szCs w:val="24"/>
        </w:rPr>
        <w:t xml:space="preserve">egge </w:t>
      </w:r>
      <w:r>
        <w:rPr>
          <w:rFonts w:ascii="Arial" w:hAnsi="Arial" w:cs="Arial"/>
          <w:sz w:val="24"/>
          <w:szCs w:val="24"/>
        </w:rPr>
        <w:t>regionale</w:t>
      </w:r>
      <w:r w:rsidRPr="00A474DB">
        <w:rPr>
          <w:rFonts w:ascii="Arial" w:hAnsi="Arial" w:cs="Arial"/>
          <w:sz w:val="24"/>
          <w:szCs w:val="24"/>
        </w:rPr>
        <w:t xml:space="preserve"> 45 del 28 dicembre 2017</w:t>
      </w:r>
      <w:r>
        <w:rPr>
          <w:rFonts w:ascii="Arial" w:hAnsi="Arial" w:cs="Arial"/>
          <w:sz w:val="24"/>
          <w:szCs w:val="24"/>
        </w:rPr>
        <w:t>, dove all’</w:t>
      </w:r>
      <w:r w:rsidRPr="00A474DB">
        <w:rPr>
          <w:rFonts w:ascii="Arial" w:hAnsi="Arial" w:cs="Arial"/>
          <w:sz w:val="24"/>
          <w:szCs w:val="24"/>
        </w:rPr>
        <w:t xml:space="preserve"> art. 3 comma 24</w:t>
      </w:r>
      <w:r>
        <w:rPr>
          <w:rFonts w:ascii="Arial" w:hAnsi="Arial" w:cs="Arial"/>
          <w:sz w:val="24"/>
          <w:szCs w:val="24"/>
        </w:rPr>
        <w:t xml:space="preserve"> si stabilisce di “</w:t>
      </w:r>
      <w:r w:rsidRPr="00A002F6">
        <w:rPr>
          <w:rFonts w:ascii="Arial" w:hAnsi="Arial" w:cs="Arial"/>
          <w:i/>
          <w:iCs/>
          <w:sz w:val="24"/>
          <w:szCs w:val="24"/>
        </w:rPr>
        <w:t>f</w:t>
      </w:r>
      <w:r w:rsidRPr="00D227D5">
        <w:rPr>
          <w:rFonts w:ascii="Arial" w:hAnsi="Arial" w:cs="Arial"/>
          <w:i/>
          <w:iCs/>
          <w:sz w:val="24"/>
          <w:szCs w:val="24"/>
        </w:rPr>
        <w:t>inanziare la realizzazione di uno o più progetti di ricerca concernente la generazione di nuove opportunità di reddito e sviluppo di servizi ecosistemici nelle aree boscate della Regione ritenute più idonee alla predisposizione di percorsi di terapia forestale per il turismo, la salute e il benessere sostenibile</w:t>
      </w:r>
      <w:r w:rsidRPr="00811EED">
        <w:rPr>
          <w:rFonts w:ascii="Arial" w:hAnsi="Arial" w:cs="Arial"/>
          <w:sz w:val="24"/>
          <w:szCs w:val="24"/>
        </w:rPr>
        <w:t>.</w:t>
      </w:r>
      <w:r>
        <w:rPr>
          <w:rFonts w:ascii="Arial" w:hAnsi="Arial" w:cs="Arial"/>
          <w:sz w:val="24"/>
          <w:szCs w:val="24"/>
        </w:rPr>
        <w:t xml:space="preserve"> </w:t>
      </w:r>
    </w:p>
    <w:p w14:paraId="41DDD993" w14:textId="4FDB792C" w:rsidR="00642660" w:rsidRPr="006A2CD9" w:rsidRDefault="00642660" w:rsidP="00642660">
      <w:pPr>
        <w:pStyle w:val="Corpotesto"/>
        <w:ind w:right="45" w:firstLine="567"/>
        <w:jc w:val="both"/>
        <w:rPr>
          <w:rFonts w:ascii="Arial" w:hAnsi="Arial" w:cs="Arial"/>
          <w:sz w:val="24"/>
          <w:szCs w:val="24"/>
        </w:rPr>
      </w:pPr>
      <w:r>
        <w:rPr>
          <w:rFonts w:ascii="Arial" w:hAnsi="Arial" w:cs="Arial"/>
          <w:sz w:val="24"/>
          <w:szCs w:val="24"/>
        </w:rPr>
        <w:t xml:space="preserve">Ha inoltre approcciato direttamente il tema dell’emissione dei crediti di carbonio tramite il Progetto LIFE </w:t>
      </w:r>
      <w:proofErr w:type="spellStart"/>
      <w:r>
        <w:rPr>
          <w:rFonts w:ascii="Arial" w:hAnsi="Arial" w:cs="Arial"/>
          <w:sz w:val="24"/>
          <w:szCs w:val="24"/>
        </w:rPr>
        <w:t>Carbonmark</w:t>
      </w:r>
      <w:proofErr w:type="spellEnd"/>
      <w:r>
        <w:rPr>
          <w:rFonts w:ascii="Arial" w:hAnsi="Arial" w:cs="Arial"/>
          <w:sz w:val="24"/>
          <w:szCs w:val="24"/>
        </w:rPr>
        <w:t>, che ha generato un set di crediti che sono stati acquistati da enti pubblici local</w:t>
      </w:r>
      <w:r w:rsidR="00C40AD9">
        <w:rPr>
          <w:rFonts w:ascii="Arial" w:hAnsi="Arial" w:cs="Arial"/>
          <w:sz w:val="24"/>
          <w:szCs w:val="24"/>
        </w:rPr>
        <w:t>e</w:t>
      </w:r>
      <w:r w:rsidR="00660FB7">
        <w:rPr>
          <w:rFonts w:ascii="Arial" w:hAnsi="Arial" w:cs="Arial"/>
          <w:sz w:val="24"/>
          <w:szCs w:val="24"/>
        </w:rPr>
        <w:t>, sebbene</w:t>
      </w:r>
      <w:r>
        <w:rPr>
          <w:rFonts w:ascii="Arial" w:hAnsi="Arial" w:cs="Arial"/>
          <w:sz w:val="24"/>
          <w:szCs w:val="24"/>
        </w:rPr>
        <w:t xml:space="preserve"> vi </w:t>
      </w:r>
      <w:r w:rsidR="00C40AD9">
        <w:rPr>
          <w:rFonts w:ascii="Arial" w:hAnsi="Arial" w:cs="Arial"/>
          <w:sz w:val="24"/>
          <w:szCs w:val="24"/>
        </w:rPr>
        <w:t>sia</w:t>
      </w:r>
      <w:r>
        <w:rPr>
          <w:rFonts w:ascii="Arial" w:hAnsi="Arial" w:cs="Arial"/>
          <w:sz w:val="24"/>
          <w:szCs w:val="24"/>
        </w:rPr>
        <w:t xml:space="preserve"> una </w:t>
      </w:r>
      <w:r w:rsidR="00B22879">
        <w:rPr>
          <w:rFonts w:ascii="Arial" w:hAnsi="Arial" w:cs="Arial"/>
          <w:sz w:val="24"/>
          <w:szCs w:val="24"/>
        </w:rPr>
        <w:t xml:space="preserve">certa </w:t>
      </w:r>
      <w:r>
        <w:rPr>
          <w:rFonts w:ascii="Arial" w:hAnsi="Arial" w:cs="Arial"/>
          <w:sz w:val="24"/>
          <w:szCs w:val="24"/>
        </w:rPr>
        <w:t xml:space="preserve">quantità di crediti che non riesce ad essere collocata sul mercato. Si tratta comunque di un’esperienza di notevole rilievo che il progetto si propone di valorizzare adeguatamente. </w:t>
      </w:r>
    </w:p>
    <w:p w14:paraId="7A9BD79E" w14:textId="5A8B201F" w:rsidR="00286149" w:rsidRDefault="00286149" w:rsidP="00286149">
      <w:pPr>
        <w:pStyle w:val="Corpotesto"/>
        <w:ind w:right="45" w:firstLine="567"/>
        <w:jc w:val="both"/>
        <w:rPr>
          <w:rFonts w:ascii="Arial" w:hAnsi="Arial" w:cs="Arial"/>
          <w:sz w:val="24"/>
          <w:szCs w:val="24"/>
        </w:rPr>
      </w:pPr>
      <w:r>
        <w:rPr>
          <w:rFonts w:ascii="Arial" w:hAnsi="Arial" w:cs="Arial"/>
          <w:sz w:val="24"/>
          <w:szCs w:val="24"/>
        </w:rPr>
        <w:t xml:space="preserve">Il Progetto si propone di rafforzare queste policy sia dal punto di vista metodologico sia da quello tecnico sia da quello della governance. </w:t>
      </w:r>
    </w:p>
    <w:p w14:paraId="7E0139B9" w14:textId="54A20FED" w:rsidR="00286149" w:rsidRDefault="00286149" w:rsidP="00BD77B2">
      <w:pPr>
        <w:ind w:firstLine="567"/>
        <w:jc w:val="both"/>
        <w:rPr>
          <w:rFonts w:ascii="Arial" w:hAnsi="Arial" w:cs="Arial"/>
          <w:sz w:val="24"/>
          <w:szCs w:val="24"/>
        </w:rPr>
      </w:pPr>
      <w:r>
        <w:t xml:space="preserve">Le Regioni </w:t>
      </w:r>
      <w:r w:rsidR="008F6BEA">
        <w:t xml:space="preserve">possono essere </w:t>
      </w:r>
      <w:r>
        <w:t>proponenti di un sistema di PES</w:t>
      </w:r>
      <w:r w:rsidR="008F6BEA">
        <w:t xml:space="preserve"> connesso alla gestione forestale ordinaria</w:t>
      </w:r>
      <w:r w:rsidR="00BD77B2">
        <w:t>. Infatti, ne</w:t>
      </w:r>
      <w:r>
        <w:rPr>
          <w:rFonts w:ascii="Arial" w:hAnsi="Arial" w:cs="Arial"/>
          <w:sz w:val="24"/>
          <w:szCs w:val="24"/>
        </w:rPr>
        <w:t xml:space="preserve">l Regolamento 2018/842 esiste un meccanismo di flessibilità connesso al settore LULUCF, purché vengano rispettate le condizioni del Regolamento 2018/841. </w:t>
      </w:r>
    </w:p>
    <w:p w14:paraId="1010784E" w14:textId="1436C7A9" w:rsidR="00286149" w:rsidRPr="00BA33F6" w:rsidRDefault="00286149" w:rsidP="00286149">
      <w:pPr>
        <w:pStyle w:val="Corpotesto"/>
        <w:ind w:right="45" w:firstLine="567"/>
        <w:jc w:val="both"/>
        <w:rPr>
          <w:rFonts w:ascii="Arial" w:hAnsi="Arial" w:cs="Arial"/>
          <w:sz w:val="24"/>
          <w:szCs w:val="24"/>
        </w:rPr>
      </w:pPr>
      <w:r w:rsidRPr="00BA33F6">
        <w:rPr>
          <w:rFonts w:ascii="Arial" w:hAnsi="Arial" w:cs="Arial"/>
          <w:sz w:val="24"/>
          <w:szCs w:val="24"/>
        </w:rPr>
        <w:t>Nel caso dell’Italia questo meccanismo consente l’utilizzo di -11,5 Mton di CO</w:t>
      </w:r>
      <w:r w:rsidRPr="00BA33F6">
        <w:rPr>
          <w:rFonts w:ascii="Arial" w:hAnsi="Arial" w:cs="Arial"/>
          <w:sz w:val="24"/>
          <w:szCs w:val="24"/>
          <w:vertAlign w:val="subscript"/>
        </w:rPr>
        <w:t>2</w:t>
      </w:r>
      <w:r w:rsidRPr="00BA33F6">
        <w:rPr>
          <w:rFonts w:ascii="Arial" w:hAnsi="Arial" w:cs="Arial"/>
          <w:sz w:val="24"/>
          <w:szCs w:val="24"/>
        </w:rPr>
        <w:t xml:space="preserve"> </w:t>
      </w:r>
      <w:proofErr w:type="spellStart"/>
      <w:r w:rsidRPr="00BA33F6">
        <w:rPr>
          <w:rFonts w:ascii="Arial" w:hAnsi="Arial" w:cs="Arial"/>
          <w:sz w:val="24"/>
          <w:szCs w:val="24"/>
        </w:rPr>
        <w:t>eq</w:t>
      </w:r>
      <w:proofErr w:type="spellEnd"/>
      <w:r w:rsidRPr="00BA33F6">
        <w:rPr>
          <w:rFonts w:ascii="Arial" w:hAnsi="Arial" w:cs="Arial"/>
          <w:sz w:val="24"/>
          <w:szCs w:val="24"/>
        </w:rPr>
        <w:t>. in dieci anni (2021-2030) per le attività di compensazione nell’ESR ai fini del raggiungimento nel 2030 degli obbiettivi del -33% delle emissioni rispetto al 2005, che significa 1,15 Mton di CO</w:t>
      </w:r>
      <w:r w:rsidRPr="00BA33F6">
        <w:rPr>
          <w:rFonts w:ascii="Arial" w:hAnsi="Arial" w:cs="Arial"/>
          <w:sz w:val="24"/>
          <w:szCs w:val="24"/>
          <w:vertAlign w:val="subscript"/>
        </w:rPr>
        <w:t>2</w:t>
      </w:r>
      <w:r w:rsidRPr="00BA33F6">
        <w:rPr>
          <w:rFonts w:ascii="Arial" w:hAnsi="Arial" w:cs="Arial"/>
          <w:sz w:val="24"/>
          <w:szCs w:val="24"/>
        </w:rPr>
        <w:t xml:space="preserve"> all’anno. Sempre con riferimento all’Italia, il settore LULUCF ha una quantità di assorbimenti netti molto maggiore nella somma di tutte le sue componenti: solo per il settore forestale, gli assorbimenti </w:t>
      </w:r>
      <w:r w:rsidR="00CF2ED0" w:rsidRPr="00BA33F6">
        <w:rPr>
          <w:rFonts w:ascii="Arial" w:hAnsi="Arial" w:cs="Arial"/>
          <w:b/>
          <w:bCs/>
          <w:i/>
          <w:iCs/>
          <w:sz w:val="24"/>
          <w:szCs w:val="24"/>
        </w:rPr>
        <w:t>annui</w:t>
      </w:r>
      <w:r w:rsidR="00CF2ED0" w:rsidRPr="00BA33F6">
        <w:rPr>
          <w:rFonts w:ascii="Arial" w:hAnsi="Arial" w:cs="Arial"/>
          <w:sz w:val="24"/>
          <w:szCs w:val="24"/>
        </w:rPr>
        <w:t xml:space="preserve"> </w:t>
      </w:r>
      <w:r w:rsidRPr="00BA33F6">
        <w:rPr>
          <w:rFonts w:ascii="Arial" w:hAnsi="Arial" w:cs="Arial"/>
          <w:sz w:val="24"/>
          <w:szCs w:val="24"/>
        </w:rPr>
        <w:t>stimati per questo periodo sono pari a 26,559 Mton di CO</w:t>
      </w:r>
      <w:r w:rsidRPr="00BA33F6">
        <w:rPr>
          <w:rFonts w:ascii="Arial" w:hAnsi="Arial" w:cs="Arial"/>
          <w:sz w:val="24"/>
          <w:szCs w:val="24"/>
          <w:vertAlign w:val="subscript"/>
        </w:rPr>
        <w:t>2</w:t>
      </w:r>
      <w:r w:rsidRPr="00BA33F6">
        <w:rPr>
          <w:rFonts w:ascii="Arial" w:hAnsi="Arial" w:cs="Arial"/>
          <w:sz w:val="24"/>
          <w:szCs w:val="24"/>
        </w:rPr>
        <w:t xml:space="preserve">, quindi vi è una differenza di </w:t>
      </w:r>
      <w:r w:rsidR="00B32A53" w:rsidRPr="00BA33F6">
        <w:rPr>
          <w:rFonts w:ascii="Arial" w:hAnsi="Arial" w:cs="Arial"/>
          <w:sz w:val="24"/>
          <w:szCs w:val="24"/>
        </w:rPr>
        <w:t xml:space="preserve">25,449 </w:t>
      </w:r>
      <w:r w:rsidRPr="00BA33F6">
        <w:rPr>
          <w:rFonts w:ascii="Arial" w:hAnsi="Arial" w:cs="Arial"/>
          <w:sz w:val="24"/>
          <w:szCs w:val="24"/>
        </w:rPr>
        <w:t>M ton</w:t>
      </w:r>
      <w:r w:rsidR="00A57B40" w:rsidRPr="00BA33F6">
        <w:rPr>
          <w:rFonts w:ascii="Arial" w:hAnsi="Arial" w:cs="Arial"/>
          <w:sz w:val="24"/>
          <w:szCs w:val="24"/>
        </w:rPr>
        <w:t xml:space="preserve"> </w:t>
      </w:r>
      <w:r w:rsidR="005C4231" w:rsidRPr="00BA33F6">
        <w:rPr>
          <w:rFonts w:ascii="Arial" w:hAnsi="Arial" w:cs="Arial"/>
          <w:sz w:val="24"/>
          <w:szCs w:val="24"/>
        </w:rPr>
        <w:t xml:space="preserve">in più </w:t>
      </w:r>
      <w:r w:rsidRPr="00BA33F6">
        <w:rPr>
          <w:rFonts w:ascii="Arial" w:hAnsi="Arial" w:cs="Arial"/>
          <w:sz w:val="24"/>
          <w:szCs w:val="24"/>
        </w:rPr>
        <w:t>rispetto a quanto sia concesso di utilizzare in compensazione, senza contare l’incremento addizionale che può essere ottenuto con la gestione forestale sostenibile</w:t>
      </w:r>
      <w:r w:rsidRPr="00BA33F6">
        <w:rPr>
          <w:rStyle w:val="Rimandonotaapidipagina"/>
          <w:rFonts w:ascii="Arial" w:hAnsi="Arial" w:cs="Arial"/>
          <w:sz w:val="24"/>
          <w:szCs w:val="24"/>
        </w:rPr>
        <w:footnoteReference w:id="6"/>
      </w:r>
      <w:r w:rsidRPr="00BA33F6">
        <w:rPr>
          <w:rFonts w:ascii="Arial" w:hAnsi="Arial" w:cs="Arial"/>
          <w:sz w:val="24"/>
          <w:szCs w:val="24"/>
        </w:rPr>
        <w:t xml:space="preserve">. </w:t>
      </w:r>
    </w:p>
    <w:p w14:paraId="0AEC304F" w14:textId="63E4779B" w:rsidR="00286149" w:rsidRDefault="00286149" w:rsidP="00286149">
      <w:pPr>
        <w:pStyle w:val="Corpotesto"/>
        <w:ind w:right="45" w:firstLine="567"/>
        <w:jc w:val="both"/>
        <w:rPr>
          <w:rFonts w:ascii="Arial" w:hAnsi="Arial" w:cs="Arial"/>
          <w:sz w:val="24"/>
          <w:szCs w:val="24"/>
        </w:rPr>
      </w:pPr>
      <w:r w:rsidRPr="00BA33F6">
        <w:rPr>
          <w:rFonts w:ascii="Arial" w:hAnsi="Arial" w:cs="Arial"/>
          <w:sz w:val="24"/>
          <w:szCs w:val="24"/>
        </w:rPr>
        <w:t>Al momento tutto questo ammontare è avocato all</w:t>
      </w:r>
      <w:r w:rsidR="00886BF8" w:rsidRPr="00BA33F6">
        <w:rPr>
          <w:rFonts w:ascii="Arial" w:hAnsi="Arial" w:cs="Arial"/>
          <w:sz w:val="24"/>
          <w:szCs w:val="24"/>
        </w:rPr>
        <w:t>o</w:t>
      </w:r>
      <w:r w:rsidRPr="00BA33F6">
        <w:rPr>
          <w:rFonts w:ascii="Arial" w:hAnsi="Arial" w:cs="Arial"/>
          <w:sz w:val="24"/>
          <w:szCs w:val="24"/>
        </w:rPr>
        <w:t xml:space="preserve"> Stato italiano, che però non risulta abbia messo in opera meccanismi di utilizzo di quella differenza di </w:t>
      </w:r>
      <w:r w:rsidR="00B32A53" w:rsidRPr="00BA33F6">
        <w:rPr>
          <w:rFonts w:ascii="Arial" w:hAnsi="Arial" w:cs="Arial"/>
          <w:sz w:val="24"/>
          <w:szCs w:val="24"/>
        </w:rPr>
        <w:t xml:space="preserve">25,449 </w:t>
      </w:r>
      <w:r w:rsidRPr="00BA33F6">
        <w:rPr>
          <w:rFonts w:ascii="Arial" w:hAnsi="Arial" w:cs="Arial"/>
          <w:sz w:val="24"/>
          <w:szCs w:val="24"/>
        </w:rPr>
        <w:t>Mton</w:t>
      </w:r>
      <w:r w:rsidR="00B32A53" w:rsidRPr="00BA33F6">
        <w:rPr>
          <w:rFonts w:ascii="Arial" w:hAnsi="Arial" w:cs="Arial"/>
          <w:sz w:val="24"/>
          <w:szCs w:val="24"/>
        </w:rPr>
        <w:t xml:space="preserve"> annui</w:t>
      </w:r>
      <w:r w:rsidRPr="00BA33F6">
        <w:rPr>
          <w:rFonts w:ascii="Arial" w:hAnsi="Arial" w:cs="Arial"/>
          <w:sz w:val="24"/>
          <w:szCs w:val="24"/>
        </w:rPr>
        <w:t xml:space="preserve"> di CO</w:t>
      </w:r>
      <w:r w:rsidRPr="00BA33F6">
        <w:rPr>
          <w:rFonts w:ascii="Arial" w:hAnsi="Arial" w:cs="Arial"/>
          <w:sz w:val="24"/>
          <w:szCs w:val="24"/>
          <w:vertAlign w:val="subscript"/>
        </w:rPr>
        <w:t>2</w:t>
      </w:r>
      <w:r w:rsidRPr="00BA33F6">
        <w:rPr>
          <w:rFonts w:ascii="Arial" w:hAnsi="Arial" w:cs="Arial"/>
          <w:sz w:val="24"/>
          <w:szCs w:val="24"/>
        </w:rPr>
        <w:t xml:space="preserve">. Anche limitandosi alle sole eccedenze di </w:t>
      </w:r>
      <w:r w:rsidR="00B32A53" w:rsidRPr="00BA33F6">
        <w:rPr>
          <w:rFonts w:ascii="Arial" w:hAnsi="Arial" w:cs="Arial"/>
          <w:sz w:val="24"/>
          <w:szCs w:val="24"/>
        </w:rPr>
        <w:t xml:space="preserve">25,449 </w:t>
      </w:r>
      <w:r w:rsidRPr="00BA33F6">
        <w:rPr>
          <w:rFonts w:ascii="Arial" w:hAnsi="Arial" w:cs="Arial"/>
          <w:sz w:val="24"/>
          <w:szCs w:val="24"/>
        </w:rPr>
        <w:t xml:space="preserve">milioni </w:t>
      </w:r>
      <w:r w:rsidR="00B32A53" w:rsidRPr="00BA33F6">
        <w:rPr>
          <w:rFonts w:ascii="Arial" w:hAnsi="Arial" w:cs="Arial"/>
          <w:sz w:val="24"/>
          <w:szCs w:val="24"/>
        </w:rPr>
        <w:t>ogni anno</w:t>
      </w:r>
      <w:r w:rsidRPr="00BA33F6">
        <w:rPr>
          <w:rFonts w:ascii="Arial" w:hAnsi="Arial" w:cs="Arial"/>
          <w:sz w:val="24"/>
          <w:szCs w:val="24"/>
        </w:rPr>
        <w:t>, sarebbe logico che fossero le Regioni ad essere delegate al loro utilizzo, per due ordini di ragioni:</w:t>
      </w:r>
      <w:r>
        <w:rPr>
          <w:rFonts w:ascii="Arial" w:hAnsi="Arial" w:cs="Arial"/>
          <w:sz w:val="24"/>
          <w:szCs w:val="24"/>
        </w:rPr>
        <w:t xml:space="preserve"> </w:t>
      </w:r>
    </w:p>
    <w:p w14:paraId="22060E55" w14:textId="77777777" w:rsidR="00286149" w:rsidRDefault="00286149" w:rsidP="00286149">
      <w:pPr>
        <w:pStyle w:val="Corpotesto"/>
        <w:ind w:right="45" w:firstLine="567"/>
        <w:jc w:val="both"/>
        <w:rPr>
          <w:rFonts w:ascii="Arial" w:hAnsi="Arial" w:cs="Arial"/>
          <w:sz w:val="24"/>
          <w:szCs w:val="24"/>
        </w:rPr>
      </w:pPr>
    </w:p>
    <w:p w14:paraId="5D609F3B" w14:textId="77777777" w:rsidR="00286149" w:rsidRDefault="00286149" w:rsidP="00286149">
      <w:pPr>
        <w:pStyle w:val="Corpotesto"/>
        <w:numPr>
          <w:ilvl w:val="0"/>
          <w:numId w:val="48"/>
        </w:numPr>
        <w:ind w:right="45"/>
        <w:jc w:val="both"/>
        <w:rPr>
          <w:rFonts w:ascii="Arial" w:hAnsi="Arial" w:cs="Arial"/>
          <w:sz w:val="24"/>
          <w:szCs w:val="24"/>
        </w:rPr>
      </w:pPr>
      <w:r>
        <w:rPr>
          <w:rFonts w:ascii="Arial" w:hAnsi="Arial" w:cs="Arial"/>
          <w:sz w:val="24"/>
          <w:szCs w:val="24"/>
        </w:rPr>
        <w:t>sono incaricate della gestione forestale, attraverso la redazione dei Piani Regionali Forestali, come stabilito dal Testo Unico Forestale (D.L. 34 2018);</w:t>
      </w:r>
    </w:p>
    <w:p w14:paraId="5EC977CB" w14:textId="77777777" w:rsidR="00286149" w:rsidRDefault="00286149" w:rsidP="00286149">
      <w:pPr>
        <w:pStyle w:val="Corpotesto"/>
        <w:numPr>
          <w:ilvl w:val="0"/>
          <w:numId w:val="48"/>
        </w:numPr>
        <w:ind w:right="45"/>
        <w:jc w:val="both"/>
        <w:rPr>
          <w:rFonts w:ascii="Arial" w:hAnsi="Arial" w:cs="Arial"/>
          <w:sz w:val="24"/>
          <w:szCs w:val="24"/>
        </w:rPr>
      </w:pPr>
      <w:r>
        <w:rPr>
          <w:rFonts w:ascii="Arial" w:hAnsi="Arial" w:cs="Arial"/>
          <w:sz w:val="24"/>
          <w:szCs w:val="24"/>
        </w:rPr>
        <w:t xml:space="preserve">sono incaricate della gestione dei PES, come emerge dal Collegato Ambientale (L. 221/2015 art. 70), dallo stesso D.L. 34/2018 art. 6 e dalla Strategia Forestale Nazionale (in fase di rilascio). </w:t>
      </w:r>
    </w:p>
    <w:p w14:paraId="72058D05" w14:textId="77777777" w:rsidR="00286149" w:rsidRDefault="00286149" w:rsidP="00286149">
      <w:pPr>
        <w:pStyle w:val="Corpotesto"/>
        <w:ind w:right="45" w:firstLine="567"/>
        <w:jc w:val="both"/>
        <w:rPr>
          <w:rFonts w:ascii="Arial" w:hAnsi="Arial" w:cs="Arial"/>
          <w:sz w:val="24"/>
          <w:szCs w:val="24"/>
        </w:rPr>
      </w:pPr>
    </w:p>
    <w:p w14:paraId="62758F46" w14:textId="102C2513" w:rsidR="0077351C" w:rsidRDefault="00286149" w:rsidP="00286149">
      <w:pPr>
        <w:pStyle w:val="Corpotesto"/>
        <w:ind w:right="45" w:firstLine="567"/>
        <w:jc w:val="both"/>
        <w:rPr>
          <w:rFonts w:ascii="Arial" w:hAnsi="Arial" w:cs="Arial"/>
          <w:sz w:val="24"/>
          <w:szCs w:val="24"/>
        </w:rPr>
      </w:pPr>
      <w:r>
        <w:rPr>
          <w:rFonts w:ascii="Arial" w:hAnsi="Arial" w:cs="Arial"/>
          <w:sz w:val="24"/>
          <w:szCs w:val="24"/>
        </w:rPr>
        <w:t xml:space="preserve">La costruzione di una Piattaforma Regionale per lo scambio dei crediti di carbonio potrebbe rappresentare un primo nucleo di crediti ecosistemici sui quali costruire come moduli aggiuntivi dei crediti ecosistemici connessi ad altre funzioni ecosistemiche, come la biodiversità, il rischio idrogeologico e molti altri. </w:t>
      </w:r>
      <w:r w:rsidR="0077351C">
        <w:rPr>
          <w:rFonts w:ascii="Arial" w:hAnsi="Arial" w:cs="Arial"/>
          <w:sz w:val="24"/>
          <w:szCs w:val="24"/>
        </w:rPr>
        <w:t>Ma anche tutti gli elementi di addizionalità sulla CO</w:t>
      </w:r>
      <w:r w:rsidR="0077351C" w:rsidRPr="0077351C">
        <w:rPr>
          <w:rFonts w:ascii="Arial" w:hAnsi="Arial" w:cs="Arial"/>
          <w:sz w:val="24"/>
          <w:szCs w:val="24"/>
          <w:vertAlign w:val="subscript"/>
        </w:rPr>
        <w:t>2</w:t>
      </w:r>
      <w:r w:rsidR="0077351C">
        <w:rPr>
          <w:rFonts w:ascii="Arial" w:hAnsi="Arial" w:cs="Arial"/>
          <w:sz w:val="24"/>
          <w:szCs w:val="24"/>
        </w:rPr>
        <w:t xml:space="preserve"> generati con la gestione forestale sostenibile. </w:t>
      </w:r>
    </w:p>
    <w:p w14:paraId="4BA7EA7F" w14:textId="27FAFAD5" w:rsidR="00286149" w:rsidRDefault="00286149" w:rsidP="00286149">
      <w:pPr>
        <w:pStyle w:val="Corpotesto"/>
        <w:ind w:right="45" w:firstLine="567"/>
        <w:jc w:val="both"/>
        <w:rPr>
          <w:rFonts w:ascii="Arial" w:hAnsi="Arial" w:cs="Arial"/>
          <w:sz w:val="24"/>
          <w:szCs w:val="24"/>
        </w:rPr>
      </w:pPr>
      <w:r>
        <w:rPr>
          <w:rFonts w:ascii="Arial" w:hAnsi="Arial" w:cs="Arial"/>
          <w:sz w:val="24"/>
          <w:szCs w:val="24"/>
        </w:rPr>
        <w:t>Le quantità da allocare tra Ministero dell’Ambiente e Regioni e, successivamente, i criteri di ripartizione tra le Regioni stesse dovrebbero essere oggetto di negoziazione per definire dei criteri di allocazione. Una ipotesi è che lo Stato continui ad avocare a sé le quote necessarie per coprire gli 11,5 Mton di CO</w:t>
      </w:r>
      <w:r w:rsidRPr="00423453">
        <w:rPr>
          <w:rFonts w:ascii="Arial" w:hAnsi="Arial" w:cs="Arial"/>
          <w:sz w:val="24"/>
          <w:szCs w:val="24"/>
          <w:vertAlign w:val="subscript"/>
        </w:rPr>
        <w:t>2</w:t>
      </w:r>
      <w:r>
        <w:rPr>
          <w:rFonts w:ascii="Arial" w:hAnsi="Arial" w:cs="Arial"/>
          <w:sz w:val="24"/>
          <w:szCs w:val="24"/>
        </w:rPr>
        <w:t xml:space="preserve"> del meccanismo di flessibilità dell’ESR più un eventuale margine per possibili innalzamenti di questo valore e il resto venga assegnato alle Regioni, che possono poi ripartire queste quantità di CO</w:t>
      </w:r>
      <w:r w:rsidRPr="00423453">
        <w:rPr>
          <w:rFonts w:ascii="Arial" w:hAnsi="Arial" w:cs="Arial"/>
          <w:sz w:val="24"/>
          <w:szCs w:val="24"/>
          <w:vertAlign w:val="subscript"/>
        </w:rPr>
        <w:t>2</w:t>
      </w:r>
      <w:r>
        <w:rPr>
          <w:rFonts w:ascii="Arial" w:hAnsi="Arial" w:cs="Arial"/>
          <w:sz w:val="24"/>
          <w:szCs w:val="24"/>
        </w:rPr>
        <w:t xml:space="preserve"> in base alla superficie forestale. </w:t>
      </w:r>
    </w:p>
    <w:p w14:paraId="03DBF031" w14:textId="77777777" w:rsidR="00286149" w:rsidRDefault="00286149" w:rsidP="00286149">
      <w:pPr>
        <w:pStyle w:val="Corpotesto"/>
        <w:ind w:right="45" w:firstLine="567"/>
        <w:jc w:val="both"/>
        <w:rPr>
          <w:rFonts w:ascii="Arial" w:hAnsi="Arial" w:cs="Arial"/>
          <w:sz w:val="24"/>
          <w:szCs w:val="24"/>
        </w:rPr>
      </w:pPr>
      <w:r>
        <w:rPr>
          <w:rFonts w:ascii="Arial" w:hAnsi="Arial" w:cs="Arial"/>
          <w:sz w:val="24"/>
          <w:szCs w:val="24"/>
        </w:rPr>
        <w:t>Questo però richiede che si creino due condizioni ben precise:</w:t>
      </w:r>
    </w:p>
    <w:p w14:paraId="279A4A6A" w14:textId="77777777" w:rsidR="00286149" w:rsidRDefault="00286149" w:rsidP="00286149">
      <w:pPr>
        <w:pStyle w:val="Corpotesto"/>
        <w:ind w:right="45" w:firstLine="567"/>
        <w:jc w:val="both"/>
        <w:rPr>
          <w:rFonts w:ascii="Arial" w:hAnsi="Arial" w:cs="Arial"/>
          <w:sz w:val="24"/>
          <w:szCs w:val="24"/>
        </w:rPr>
      </w:pPr>
    </w:p>
    <w:p w14:paraId="65258A57" w14:textId="77777777" w:rsidR="00286149" w:rsidRDefault="00286149" w:rsidP="00286149">
      <w:pPr>
        <w:pStyle w:val="Corpotesto"/>
        <w:numPr>
          <w:ilvl w:val="0"/>
          <w:numId w:val="49"/>
        </w:numPr>
        <w:ind w:right="45"/>
        <w:jc w:val="both"/>
        <w:rPr>
          <w:rFonts w:ascii="Arial" w:hAnsi="Arial" w:cs="Arial"/>
          <w:sz w:val="24"/>
          <w:szCs w:val="24"/>
        </w:rPr>
      </w:pPr>
      <w:r>
        <w:rPr>
          <w:rFonts w:ascii="Arial" w:hAnsi="Arial" w:cs="Arial"/>
          <w:sz w:val="24"/>
          <w:szCs w:val="24"/>
        </w:rPr>
        <w:t>un atto normativo del Ministero dell’Ambiente che conferisca la gestione di queste quote alle Regioni o che questo possa essere deciso tramite la Conferenza Stato Regioni</w:t>
      </w:r>
      <w:r>
        <w:rPr>
          <w:rStyle w:val="Rimandonotaapidipagina"/>
          <w:rFonts w:ascii="Arial" w:hAnsi="Arial" w:cs="Arial"/>
          <w:sz w:val="24"/>
          <w:szCs w:val="24"/>
        </w:rPr>
        <w:footnoteReference w:id="7"/>
      </w:r>
      <w:r>
        <w:rPr>
          <w:rFonts w:ascii="Arial" w:hAnsi="Arial" w:cs="Arial"/>
          <w:sz w:val="24"/>
          <w:szCs w:val="24"/>
        </w:rPr>
        <w:t>;</w:t>
      </w:r>
    </w:p>
    <w:p w14:paraId="6C391088" w14:textId="77777777" w:rsidR="00286149" w:rsidRDefault="00286149" w:rsidP="00286149">
      <w:pPr>
        <w:pStyle w:val="Corpotesto"/>
        <w:numPr>
          <w:ilvl w:val="0"/>
          <w:numId w:val="49"/>
        </w:numPr>
        <w:ind w:right="45"/>
        <w:jc w:val="both"/>
        <w:rPr>
          <w:rFonts w:ascii="Arial" w:hAnsi="Arial" w:cs="Arial"/>
          <w:sz w:val="24"/>
          <w:szCs w:val="24"/>
        </w:rPr>
      </w:pPr>
      <w:r>
        <w:rPr>
          <w:rFonts w:ascii="Arial" w:hAnsi="Arial" w:cs="Arial"/>
          <w:sz w:val="24"/>
          <w:szCs w:val="24"/>
        </w:rPr>
        <w:t xml:space="preserve">La creazione di un sistema di gestione dei crediti che sia compatibile con le regole dell’ESR, con l’Inventario Nazionale dei gas GHG redatto da ISPRA. </w:t>
      </w:r>
    </w:p>
    <w:p w14:paraId="643C24F2" w14:textId="77777777" w:rsidR="00286149" w:rsidRDefault="00286149" w:rsidP="00286149">
      <w:pPr>
        <w:pStyle w:val="Corpotesto"/>
        <w:ind w:right="45" w:firstLine="567"/>
        <w:jc w:val="both"/>
        <w:rPr>
          <w:rFonts w:ascii="Arial" w:hAnsi="Arial" w:cs="Arial"/>
          <w:sz w:val="24"/>
          <w:szCs w:val="24"/>
        </w:rPr>
      </w:pPr>
    </w:p>
    <w:p w14:paraId="72623559" w14:textId="77777777" w:rsidR="00286149" w:rsidRDefault="00286149" w:rsidP="00286149">
      <w:pPr>
        <w:pStyle w:val="Corpotesto"/>
        <w:ind w:right="45" w:firstLine="567"/>
        <w:jc w:val="both"/>
        <w:rPr>
          <w:rFonts w:ascii="Arial" w:hAnsi="Arial" w:cs="Arial"/>
          <w:sz w:val="24"/>
          <w:szCs w:val="24"/>
        </w:rPr>
      </w:pPr>
      <w:r>
        <w:rPr>
          <w:rFonts w:ascii="Arial" w:hAnsi="Arial" w:cs="Arial"/>
          <w:sz w:val="24"/>
          <w:szCs w:val="24"/>
        </w:rPr>
        <w:t>Più in dettaglio, il punto 2 richiede una procedura che sia fondata su questi elementi:</w:t>
      </w:r>
    </w:p>
    <w:p w14:paraId="3CA58494" w14:textId="77777777" w:rsidR="00286149" w:rsidRDefault="00286149" w:rsidP="00286149">
      <w:pPr>
        <w:pStyle w:val="Corpotesto"/>
        <w:ind w:right="45" w:firstLine="567"/>
        <w:jc w:val="both"/>
        <w:rPr>
          <w:rFonts w:ascii="Arial" w:hAnsi="Arial" w:cs="Arial"/>
          <w:sz w:val="24"/>
          <w:szCs w:val="24"/>
        </w:rPr>
      </w:pPr>
    </w:p>
    <w:p w14:paraId="34DBF550" w14:textId="77777777" w:rsidR="00286149" w:rsidRDefault="00286149" w:rsidP="00286149">
      <w:pPr>
        <w:pStyle w:val="Corpotesto"/>
        <w:numPr>
          <w:ilvl w:val="0"/>
          <w:numId w:val="51"/>
        </w:numPr>
        <w:ind w:right="45"/>
        <w:jc w:val="both"/>
        <w:rPr>
          <w:rFonts w:ascii="Arial" w:hAnsi="Arial" w:cs="Arial"/>
          <w:sz w:val="24"/>
          <w:szCs w:val="24"/>
        </w:rPr>
      </w:pPr>
      <w:r>
        <w:rPr>
          <w:rFonts w:ascii="Arial" w:hAnsi="Arial" w:cs="Arial"/>
          <w:sz w:val="24"/>
          <w:szCs w:val="24"/>
        </w:rPr>
        <w:t>la presenza di un Registro che sia riconosciuto come parte del Registro Nazionale sui gas GHG, con le stesse regole di contabilizzazione per quanto attiene al settore LULUCF;</w:t>
      </w:r>
    </w:p>
    <w:p w14:paraId="755EC5D7" w14:textId="77777777" w:rsidR="00286149" w:rsidRDefault="00286149" w:rsidP="00286149">
      <w:pPr>
        <w:pStyle w:val="Corpotesto"/>
        <w:numPr>
          <w:ilvl w:val="0"/>
          <w:numId w:val="51"/>
        </w:numPr>
        <w:ind w:right="45"/>
        <w:jc w:val="both"/>
        <w:rPr>
          <w:rFonts w:ascii="Arial" w:hAnsi="Arial" w:cs="Arial"/>
          <w:sz w:val="24"/>
          <w:szCs w:val="24"/>
        </w:rPr>
      </w:pPr>
      <w:r>
        <w:rPr>
          <w:rFonts w:ascii="Arial" w:hAnsi="Arial" w:cs="Arial"/>
          <w:sz w:val="24"/>
          <w:szCs w:val="24"/>
        </w:rPr>
        <w:t xml:space="preserve">La valutazione delle emissioni e degli assorbimenti a livello della singola particella di territorio e la metodologia di valutazione deve essere in linea con la metodologia applicata a livello nazionale e, naturalmente, con un </w:t>
      </w:r>
      <w:proofErr w:type="spellStart"/>
      <w:r>
        <w:rPr>
          <w:rFonts w:ascii="Arial" w:hAnsi="Arial" w:cs="Arial"/>
          <w:sz w:val="24"/>
          <w:szCs w:val="24"/>
        </w:rPr>
        <w:t>tier</w:t>
      </w:r>
      <w:proofErr w:type="spellEnd"/>
      <w:r>
        <w:rPr>
          <w:rFonts w:ascii="Arial" w:hAnsi="Arial" w:cs="Arial"/>
          <w:sz w:val="24"/>
          <w:szCs w:val="24"/>
        </w:rPr>
        <w:t xml:space="preserve"> IPCC almeno di livello II (ma è preferibile che sia di livello III);</w:t>
      </w:r>
    </w:p>
    <w:p w14:paraId="4FD8C9C2" w14:textId="77777777" w:rsidR="00286149" w:rsidRDefault="00286149" w:rsidP="00286149">
      <w:pPr>
        <w:pStyle w:val="Corpotesto"/>
        <w:numPr>
          <w:ilvl w:val="0"/>
          <w:numId w:val="51"/>
        </w:numPr>
        <w:ind w:right="45"/>
        <w:jc w:val="both"/>
        <w:rPr>
          <w:rFonts w:ascii="Arial" w:hAnsi="Arial" w:cs="Arial"/>
          <w:sz w:val="24"/>
          <w:szCs w:val="24"/>
        </w:rPr>
      </w:pPr>
      <w:r>
        <w:rPr>
          <w:rFonts w:ascii="Arial" w:hAnsi="Arial" w:cs="Arial"/>
          <w:sz w:val="24"/>
          <w:szCs w:val="24"/>
        </w:rPr>
        <w:t>Ci deve essere un meccanismo di revisione e verifica da parte di un organismo esterno, come avviene per i NFAP che sono validati dal LULUCIFEG;</w:t>
      </w:r>
    </w:p>
    <w:p w14:paraId="4AC0ECAB" w14:textId="77777777" w:rsidR="00286149" w:rsidRDefault="00286149" w:rsidP="00286149">
      <w:pPr>
        <w:pStyle w:val="Corpotesto"/>
        <w:numPr>
          <w:ilvl w:val="0"/>
          <w:numId w:val="51"/>
        </w:numPr>
        <w:ind w:right="45"/>
        <w:jc w:val="both"/>
        <w:rPr>
          <w:rFonts w:ascii="Arial" w:hAnsi="Arial" w:cs="Arial"/>
          <w:sz w:val="24"/>
          <w:szCs w:val="24"/>
        </w:rPr>
      </w:pPr>
      <w:r>
        <w:rPr>
          <w:rFonts w:ascii="Arial" w:hAnsi="Arial" w:cs="Arial"/>
          <w:sz w:val="24"/>
          <w:szCs w:val="24"/>
        </w:rPr>
        <w:t xml:space="preserve">È auspicabile che sia compatibile con il CDM perché renderebbe possibile il riconoscimento reciproco, perlomeno in linea di principio, con i sistemi di certificazione dei crediti volontari, come il Gold Standard, VCS – </w:t>
      </w:r>
      <w:proofErr w:type="spellStart"/>
      <w:r>
        <w:rPr>
          <w:rFonts w:ascii="Arial" w:hAnsi="Arial" w:cs="Arial"/>
          <w:sz w:val="24"/>
          <w:szCs w:val="24"/>
        </w:rPr>
        <w:t>Verra</w:t>
      </w:r>
      <w:proofErr w:type="spellEnd"/>
      <w:r>
        <w:rPr>
          <w:rFonts w:ascii="Arial" w:hAnsi="Arial" w:cs="Arial"/>
          <w:sz w:val="24"/>
          <w:szCs w:val="24"/>
        </w:rPr>
        <w:t xml:space="preserve">, </w:t>
      </w:r>
      <w:proofErr w:type="spellStart"/>
      <w:r>
        <w:rPr>
          <w:rFonts w:ascii="Arial" w:hAnsi="Arial" w:cs="Arial"/>
          <w:sz w:val="24"/>
          <w:szCs w:val="24"/>
        </w:rPr>
        <w:t>Planvivo</w:t>
      </w:r>
      <w:proofErr w:type="spellEnd"/>
      <w:r>
        <w:rPr>
          <w:rFonts w:ascii="Arial" w:hAnsi="Arial" w:cs="Arial"/>
          <w:sz w:val="24"/>
          <w:szCs w:val="24"/>
        </w:rPr>
        <w:t xml:space="preserve">, ma anche con progetti di riduzione che emettono crediti CER ed ERU. </w:t>
      </w:r>
    </w:p>
    <w:p w14:paraId="66444A1D" w14:textId="77777777" w:rsidR="00286149" w:rsidRDefault="00286149" w:rsidP="00286149">
      <w:pPr>
        <w:pStyle w:val="Corpotesto"/>
        <w:ind w:right="45"/>
        <w:jc w:val="both"/>
        <w:rPr>
          <w:rFonts w:ascii="Arial" w:hAnsi="Arial" w:cs="Arial"/>
          <w:sz w:val="24"/>
          <w:szCs w:val="24"/>
        </w:rPr>
      </w:pPr>
    </w:p>
    <w:p w14:paraId="64DC2D40" w14:textId="59C7CB7A" w:rsidR="00286149" w:rsidRDefault="00286149" w:rsidP="00286149">
      <w:pPr>
        <w:pStyle w:val="Corpotesto"/>
        <w:ind w:right="45" w:firstLine="567"/>
        <w:jc w:val="both"/>
        <w:rPr>
          <w:rFonts w:ascii="Arial" w:hAnsi="Arial" w:cs="Arial"/>
          <w:sz w:val="24"/>
          <w:szCs w:val="24"/>
        </w:rPr>
      </w:pPr>
      <w:r>
        <w:rPr>
          <w:rFonts w:ascii="Arial" w:hAnsi="Arial" w:cs="Arial"/>
          <w:sz w:val="24"/>
          <w:szCs w:val="24"/>
        </w:rPr>
        <w:t xml:space="preserve">Dal punto di vista metodologico, questo implica che nella valutazione delle condizioni di addizionalità </w:t>
      </w:r>
      <w:r w:rsidR="00FD5DAA">
        <w:rPr>
          <w:rFonts w:ascii="Arial" w:hAnsi="Arial" w:cs="Arial"/>
          <w:sz w:val="24"/>
          <w:szCs w:val="24"/>
        </w:rPr>
        <w:t>si debba considerare un</w:t>
      </w:r>
      <w:r>
        <w:rPr>
          <w:rFonts w:ascii="Arial" w:hAnsi="Arial" w:cs="Arial"/>
          <w:sz w:val="24"/>
          <w:szCs w:val="24"/>
        </w:rPr>
        <w:t xml:space="preserve"> BAU </w:t>
      </w:r>
      <w:r w:rsidR="00FD5DAA">
        <w:rPr>
          <w:rFonts w:ascii="Arial" w:hAnsi="Arial" w:cs="Arial"/>
          <w:sz w:val="24"/>
          <w:szCs w:val="24"/>
        </w:rPr>
        <w:t>che tenga conto del</w:t>
      </w:r>
      <w:r>
        <w:rPr>
          <w:rFonts w:ascii="Arial" w:hAnsi="Arial" w:cs="Arial"/>
          <w:sz w:val="24"/>
          <w:szCs w:val="24"/>
        </w:rPr>
        <w:t xml:space="preserve"> FRL calcolato a livello Provinciale, </w:t>
      </w:r>
      <w:r w:rsidR="00767ADF">
        <w:rPr>
          <w:rFonts w:ascii="Arial" w:hAnsi="Arial" w:cs="Arial"/>
          <w:sz w:val="24"/>
          <w:szCs w:val="24"/>
        </w:rPr>
        <w:t>pur tenendo conto delle criticità che sono connesse alle assunzioni del FRL</w:t>
      </w:r>
      <w:r w:rsidR="002D09B4">
        <w:rPr>
          <w:rFonts w:ascii="Arial" w:hAnsi="Arial" w:cs="Arial"/>
          <w:sz w:val="24"/>
          <w:szCs w:val="24"/>
        </w:rPr>
        <w:t>.</w:t>
      </w:r>
      <w:r>
        <w:rPr>
          <w:rFonts w:ascii="Arial" w:hAnsi="Arial" w:cs="Arial"/>
          <w:sz w:val="24"/>
          <w:szCs w:val="24"/>
        </w:rPr>
        <w:t xml:space="preserve"> Mentre per quanto attiene al modello da applicare per la stima del carbon </w:t>
      </w:r>
      <w:proofErr w:type="spellStart"/>
      <w:r>
        <w:rPr>
          <w:rFonts w:ascii="Arial" w:hAnsi="Arial" w:cs="Arial"/>
          <w:sz w:val="24"/>
          <w:szCs w:val="24"/>
        </w:rPr>
        <w:t>sink</w:t>
      </w:r>
      <w:proofErr w:type="spellEnd"/>
      <w:r>
        <w:rPr>
          <w:rFonts w:ascii="Arial" w:hAnsi="Arial" w:cs="Arial"/>
          <w:sz w:val="24"/>
          <w:szCs w:val="24"/>
        </w:rPr>
        <w:t xml:space="preserve"> e del </w:t>
      </w:r>
      <w:r>
        <w:rPr>
          <w:rFonts w:ascii="Arial" w:hAnsi="Arial" w:cs="Arial"/>
          <w:sz w:val="24"/>
          <w:szCs w:val="24"/>
        </w:rPr>
        <w:lastRenderedPageBreak/>
        <w:t xml:space="preserve">carbon stock, la soluzione migliore è quella di considerare due modelli: </w:t>
      </w:r>
    </w:p>
    <w:p w14:paraId="6DC0CD9C" w14:textId="77777777" w:rsidR="00286149" w:rsidRDefault="00286149" w:rsidP="00286149">
      <w:pPr>
        <w:pStyle w:val="Corpotesto"/>
        <w:ind w:right="45"/>
        <w:jc w:val="both"/>
        <w:rPr>
          <w:rFonts w:ascii="Arial" w:hAnsi="Arial" w:cs="Arial"/>
          <w:sz w:val="24"/>
          <w:szCs w:val="24"/>
        </w:rPr>
      </w:pPr>
    </w:p>
    <w:p w14:paraId="189CBFF4" w14:textId="77777777" w:rsidR="00286149" w:rsidRDefault="00286149" w:rsidP="00286149">
      <w:pPr>
        <w:pStyle w:val="Corpotesto"/>
        <w:numPr>
          <w:ilvl w:val="0"/>
          <w:numId w:val="52"/>
        </w:numPr>
        <w:ind w:right="45"/>
        <w:jc w:val="both"/>
        <w:rPr>
          <w:rFonts w:ascii="Arial" w:hAnsi="Arial" w:cs="Arial"/>
          <w:sz w:val="24"/>
          <w:szCs w:val="24"/>
        </w:rPr>
      </w:pPr>
      <w:r>
        <w:rPr>
          <w:rFonts w:ascii="Arial" w:hAnsi="Arial" w:cs="Arial"/>
          <w:sz w:val="24"/>
          <w:szCs w:val="24"/>
        </w:rPr>
        <w:t xml:space="preserve">il Carbon Budget Model associato ai modelli </w:t>
      </w:r>
      <w:proofErr w:type="spellStart"/>
      <w:r>
        <w:rPr>
          <w:rFonts w:ascii="Arial" w:hAnsi="Arial" w:cs="Arial"/>
          <w:sz w:val="24"/>
          <w:szCs w:val="24"/>
        </w:rPr>
        <w:t>Behave</w:t>
      </w:r>
      <w:proofErr w:type="spellEnd"/>
      <w:r>
        <w:rPr>
          <w:rFonts w:ascii="Arial" w:hAnsi="Arial" w:cs="Arial"/>
          <w:sz w:val="24"/>
          <w:szCs w:val="24"/>
        </w:rPr>
        <w:t xml:space="preserve">, </w:t>
      </w:r>
      <w:proofErr w:type="spellStart"/>
      <w:r>
        <w:rPr>
          <w:rFonts w:ascii="Arial" w:hAnsi="Arial" w:cs="Arial"/>
          <w:sz w:val="24"/>
          <w:szCs w:val="24"/>
        </w:rPr>
        <w:t>Flammap</w:t>
      </w:r>
      <w:proofErr w:type="spellEnd"/>
      <w:r>
        <w:rPr>
          <w:rFonts w:ascii="Arial" w:hAnsi="Arial" w:cs="Arial"/>
          <w:sz w:val="24"/>
          <w:szCs w:val="24"/>
        </w:rPr>
        <w:t xml:space="preserve"> e </w:t>
      </w:r>
      <w:proofErr w:type="spellStart"/>
      <w:r>
        <w:rPr>
          <w:rFonts w:ascii="Arial" w:hAnsi="Arial" w:cs="Arial"/>
          <w:sz w:val="24"/>
          <w:szCs w:val="24"/>
        </w:rPr>
        <w:t>Forest</w:t>
      </w:r>
      <w:proofErr w:type="spellEnd"/>
      <w:r>
        <w:rPr>
          <w:rFonts w:ascii="Arial" w:hAnsi="Arial" w:cs="Arial"/>
          <w:sz w:val="24"/>
          <w:szCs w:val="24"/>
        </w:rPr>
        <w:t xml:space="preserve"> </w:t>
      </w:r>
      <w:proofErr w:type="spellStart"/>
      <w:r>
        <w:rPr>
          <w:rFonts w:ascii="Arial" w:hAnsi="Arial" w:cs="Arial"/>
          <w:sz w:val="24"/>
          <w:szCs w:val="24"/>
        </w:rPr>
        <w:t>Gales</w:t>
      </w:r>
      <w:proofErr w:type="spellEnd"/>
      <w:r>
        <w:rPr>
          <w:rFonts w:ascii="Arial" w:hAnsi="Arial" w:cs="Arial"/>
          <w:sz w:val="24"/>
          <w:szCs w:val="24"/>
        </w:rPr>
        <w:t>;</w:t>
      </w:r>
    </w:p>
    <w:p w14:paraId="507CA4DE" w14:textId="77777777" w:rsidR="00286149" w:rsidRDefault="00286149" w:rsidP="00286149">
      <w:pPr>
        <w:pStyle w:val="Corpotesto"/>
        <w:numPr>
          <w:ilvl w:val="0"/>
          <w:numId w:val="52"/>
        </w:numPr>
        <w:ind w:right="45"/>
        <w:jc w:val="both"/>
        <w:rPr>
          <w:rFonts w:ascii="Arial" w:hAnsi="Arial" w:cs="Arial"/>
          <w:sz w:val="24"/>
          <w:szCs w:val="24"/>
        </w:rPr>
      </w:pPr>
      <w:r>
        <w:rPr>
          <w:rFonts w:ascii="Arial" w:hAnsi="Arial" w:cs="Arial"/>
          <w:sz w:val="24"/>
          <w:szCs w:val="24"/>
        </w:rPr>
        <w:t>il modello For-Est scelto da ISPRA, che si basa sull’inventario forestale nazionale.</w:t>
      </w:r>
    </w:p>
    <w:p w14:paraId="58CDBF73" w14:textId="77777777" w:rsidR="00286149" w:rsidRDefault="00286149" w:rsidP="00286149">
      <w:pPr>
        <w:pStyle w:val="Corpotesto"/>
        <w:ind w:right="45" w:firstLine="567"/>
        <w:jc w:val="both"/>
        <w:rPr>
          <w:rFonts w:ascii="Arial" w:hAnsi="Arial" w:cs="Arial"/>
          <w:sz w:val="24"/>
          <w:szCs w:val="24"/>
        </w:rPr>
      </w:pPr>
    </w:p>
    <w:p w14:paraId="683680B5" w14:textId="77777777" w:rsidR="00286149" w:rsidRDefault="00286149" w:rsidP="00286149">
      <w:pPr>
        <w:pStyle w:val="Corpotesto"/>
        <w:ind w:right="45" w:firstLine="567"/>
        <w:jc w:val="both"/>
        <w:rPr>
          <w:rFonts w:ascii="Arial" w:hAnsi="Arial" w:cs="Arial"/>
          <w:sz w:val="24"/>
          <w:szCs w:val="24"/>
        </w:rPr>
      </w:pPr>
      <w:r>
        <w:rPr>
          <w:rFonts w:ascii="Arial" w:hAnsi="Arial" w:cs="Arial"/>
          <w:sz w:val="24"/>
          <w:szCs w:val="24"/>
        </w:rPr>
        <w:t xml:space="preserve">L’uso di un valore medio tra i risultati di stima di questi due modelli rende il sistema di analisi robusto e credibile, anche se è da valutare quanto questa applicazione possa essere complessa da applicare in aree dove vi è assenza di Piani di Assestamento. </w:t>
      </w:r>
    </w:p>
    <w:p w14:paraId="70958F27" w14:textId="34A1C274" w:rsidR="00FC7742" w:rsidRDefault="00286149" w:rsidP="00FC7742">
      <w:pPr>
        <w:pStyle w:val="Corpotesto"/>
        <w:ind w:right="45" w:firstLine="567"/>
        <w:jc w:val="both"/>
        <w:rPr>
          <w:rFonts w:ascii="Arial" w:hAnsi="Arial" w:cs="Arial"/>
          <w:sz w:val="24"/>
          <w:szCs w:val="24"/>
        </w:rPr>
      </w:pPr>
      <w:r>
        <w:rPr>
          <w:rFonts w:ascii="Arial" w:hAnsi="Arial" w:cs="Arial"/>
          <w:sz w:val="24"/>
          <w:szCs w:val="24"/>
        </w:rPr>
        <w:t>Occorre anche ricordare che il meccanismo CDM non consente l’utilizzo di fondi pubblici del tipo ODA, ovvero di aiuto allo sviluppo. Molto spesso in Italia le attività di GFS sono finanziate utilizzando gli strumenti messi a disposizione dal PSR, perché altrimenti il costo della GFS sarebbe eccessivamente elevato. È evidente che l’uso di Crediti Ecosistemici crea una fonte di reddito aggiuntiva ma ben difficilmente sarà in grado di escludere i finanziamenti di origine pubblica e quindi è necessario differenziare molto bene le attività che sono finanziate con i crediti rispetto a quelle che non lo sono, stabilendo procedure di verifica su come i fondi vengono utilizzati</w:t>
      </w:r>
      <w:r w:rsidR="00FC7742">
        <w:rPr>
          <w:rFonts w:ascii="Arial" w:hAnsi="Arial" w:cs="Arial"/>
          <w:sz w:val="24"/>
          <w:szCs w:val="24"/>
        </w:rPr>
        <w:t>.</w:t>
      </w:r>
    </w:p>
    <w:p w14:paraId="08F1AAA6" w14:textId="2DF93032" w:rsidR="00642660" w:rsidRDefault="00286149" w:rsidP="004C113B">
      <w:pPr>
        <w:pStyle w:val="Corpotesto"/>
        <w:ind w:right="45" w:firstLine="567"/>
        <w:jc w:val="both"/>
        <w:rPr>
          <w:rFonts w:ascii="Arial" w:hAnsi="Arial" w:cs="Arial"/>
          <w:sz w:val="24"/>
          <w:szCs w:val="24"/>
        </w:rPr>
      </w:pPr>
      <w:r>
        <w:rPr>
          <w:rFonts w:ascii="Arial" w:hAnsi="Arial" w:cs="Arial"/>
          <w:sz w:val="24"/>
          <w:szCs w:val="24"/>
        </w:rPr>
        <w:t xml:space="preserve">Infine, è importante considerare anche l’aspetto economico. È chiaro che un sistema simile può garantire un certo ritorno economico ai detentori di aree boschive in Italia ma solo se vi è una certa estensione e comunque si tratta di importi contenuti. </w:t>
      </w:r>
      <w:r w:rsidR="00E12CDE">
        <w:rPr>
          <w:rFonts w:ascii="Arial" w:hAnsi="Arial" w:cs="Arial"/>
          <w:sz w:val="24"/>
          <w:szCs w:val="24"/>
        </w:rPr>
        <w:t xml:space="preserve"> Si stima che l’estensione minima per andare a parteggio con i costi </w:t>
      </w:r>
      <w:r w:rsidR="009858A8">
        <w:rPr>
          <w:rFonts w:ascii="Arial" w:hAnsi="Arial" w:cs="Arial"/>
          <w:sz w:val="24"/>
          <w:szCs w:val="24"/>
        </w:rPr>
        <w:t xml:space="preserve">è di circa 1.000 Ha. </w:t>
      </w:r>
      <w:r>
        <w:rPr>
          <w:rFonts w:ascii="Arial" w:hAnsi="Arial" w:cs="Arial"/>
          <w:sz w:val="24"/>
          <w:szCs w:val="24"/>
        </w:rPr>
        <w:t xml:space="preserve">Quindi è possibile che ad alcune Regioni non interessi molto fare questo tipo di piattaforma, perché non vi sono proprietari pubblici o privati che hanno un’estensione sufficientemente ampia di foresta. </w:t>
      </w:r>
    </w:p>
    <w:p w14:paraId="4BBABCB0" w14:textId="55E59390" w:rsidR="009858A8" w:rsidRDefault="009858A8">
      <w:pPr>
        <w:rPr>
          <w:rFonts w:ascii="Arial" w:hAnsi="Arial" w:cs="Arial"/>
          <w:sz w:val="24"/>
          <w:szCs w:val="24"/>
        </w:rPr>
      </w:pPr>
      <w:r>
        <w:rPr>
          <w:rFonts w:ascii="Arial" w:hAnsi="Arial" w:cs="Arial"/>
          <w:sz w:val="24"/>
          <w:szCs w:val="24"/>
        </w:rPr>
        <w:br w:type="page"/>
      </w:r>
    </w:p>
    <w:p w14:paraId="494B8DE4" w14:textId="0DF49A84" w:rsidR="00735059" w:rsidRDefault="00735059" w:rsidP="00BB0440">
      <w:pPr>
        <w:pStyle w:val="Titolo1"/>
      </w:pPr>
      <w:bookmarkStart w:id="0" w:name="_Toc74265389"/>
      <w:r w:rsidRPr="00735059">
        <w:lastRenderedPageBreak/>
        <w:t>Gli obbiettivi del Progetto e</w:t>
      </w:r>
      <w:r>
        <w:t xml:space="preserve"> </w:t>
      </w:r>
      <w:r w:rsidR="00B857CF">
        <w:t>l’</w:t>
      </w:r>
      <w:r>
        <w:t>impianto normativo sottostante</w:t>
      </w:r>
      <w:bookmarkEnd w:id="0"/>
    </w:p>
    <w:p w14:paraId="1765F9AD" w14:textId="3E283219" w:rsidR="00735059" w:rsidRDefault="00735059" w:rsidP="002A4817">
      <w:pPr>
        <w:pStyle w:val="Corpotesto"/>
        <w:spacing w:before="104" w:line="237" w:lineRule="auto"/>
        <w:ind w:right="46"/>
        <w:jc w:val="both"/>
        <w:rPr>
          <w:rFonts w:ascii="Arial" w:hAnsi="Arial" w:cs="Arial"/>
          <w:sz w:val="24"/>
          <w:szCs w:val="24"/>
        </w:rPr>
      </w:pPr>
    </w:p>
    <w:p w14:paraId="13EF44F9" w14:textId="6DE2F004" w:rsidR="001E553A" w:rsidRDefault="00952A0E" w:rsidP="006332E1">
      <w:pPr>
        <w:pStyle w:val="Corpotesto"/>
        <w:ind w:right="45" w:firstLine="567"/>
        <w:jc w:val="both"/>
        <w:rPr>
          <w:rFonts w:ascii="Arial" w:hAnsi="Arial" w:cs="Arial"/>
          <w:sz w:val="24"/>
          <w:szCs w:val="24"/>
        </w:rPr>
      </w:pPr>
      <w:r>
        <w:rPr>
          <w:rFonts w:ascii="Arial" w:hAnsi="Arial" w:cs="Arial"/>
          <w:sz w:val="24"/>
          <w:szCs w:val="24"/>
        </w:rPr>
        <w:t xml:space="preserve">Il progetto ha </w:t>
      </w:r>
      <w:r w:rsidR="00A145B6">
        <w:rPr>
          <w:rFonts w:ascii="Arial" w:hAnsi="Arial" w:cs="Arial"/>
          <w:sz w:val="24"/>
          <w:szCs w:val="24"/>
        </w:rPr>
        <w:t xml:space="preserve">lo scopo di individuare gli strumenti </w:t>
      </w:r>
      <w:r w:rsidR="00A27EA3">
        <w:rPr>
          <w:rFonts w:ascii="Arial" w:hAnsi="Arial" w:cs="Arial"/>
          <w:sz w:val="24"/>
          <w:szCs w:val="24"/>
        </w:rPr>
        <w:t xml:space="preserve">più efficaci </w:t>
      </w:r>
      <w:r w:rsidR="00A145B6">
        <w:rPr>
          <w:rFonts w:ascii="Arial" w:hAnsi="Arial" w:cs="Arial"/>
          <w:sz w:val="24"/>
          <w:szCs w:val="24"/>
        </w:rPr>
        <w:t xml:space="preserve">per </w:t>
      </w:r>
      <w:r w:rsidR="00930C19">
        <w:rPr>
          <w:rFonts w:ascii="Arial" w:hAnsi="Arial" w:cs="Arial"/>
          <w:sz w:val="24"/>
          <w:szCs w:val="24"/>
        </w:rPr>
        <w:t>il supporto a</w:t>
      </w:r>
      <w:r w:rsidR="00A145B6">
        <w:rPr>
          <w:rFonts w:ascii="Arial" w:hAnsi="Arial" w:cs="Arial"/>
          <w:sz w:val="24"/>
          <w:szCs w:val="24"/>
        </w:rPr>
        <w:t xml:space="preserve"> tre </w:t>
      </w:r>
      <w:r w:rsidR="001D451A">
        <w:rPr>
          <w:rFonts w:ascii="Arial" w:hAnsi="Arial" w:cs="Arial"/>
          <w:sz w:val="24"/>
          <w:szCs w:val="24"/>
        </w:rPr>
        <w:t>funzioni ecosistemiche dei sistemi forestali</w:t>
      </w:r>
      <w:r w:rsidR="00CA4131">
        <w:rPr>
          <w:rFonts w:ascii="Arial" w:hAnsi="Arial" w:cs="Arial"/>
          <w:sz w:val="24"/>
          <w:szCs w:val="24"/>
        </w:rPr>
        <w:t>:</w:t>
      </w:r>
    </w:p>
    <w:p w14:paraId="6F686E4E" w14:textId="77777777" w:rsidR="001E553A" w:rsidRDefault="001E553A" w:rsidP="006332E1">
      <w:pPr>
        <w:pStyle w:val="Corpotesto"/>
        <w:ind w:right="45"/>
        <w:jc w:val="both"/>
        <w:rPr>
          <w:rFonts w:ascii="Arial" w:hAnsi="Arial" w:cs="Arial"/>
          <w:sz w:val="24"/>
          <w:szCs w:val="24"/>
        </w:rPr>
      </w:pPr>
    </w:p>
    <w:p w14:paraId="4F245F40" w14:textId="3DD0FE0C" w:rsidR="00A94C15" w:rsidRDefault="00B25345" w:rsidP="000D531D">
      <w:pPr>
        <w:pStyle w:val="Corpotesto"/>
        <w:numPr>
          <w:ilvl w:val="0"/>
          <w:numId w:val="2"/>
        </w:numPr>
        <w:ind w:right="45"/>
        <w:jc w:val="both"/>
        <w:rPr>
          <w:rFonts w:ascii="Arial" w:hAnsi="Arial" w:cs="Arial"/>
          <w:sz w:val="24"/>
          <w:szCs w:val="24"/>
        </w:rPr>
      </w:pPr>
      <w:r>
        <w:rPr>
          <w:rFonts w:ascii="Arial" w:hAnsi="Arial" w:cs="Arial"/>
          <w:b/>
          <w:bCs/>
          <w:sz w:val="24"/>
          <w:szCs w:val="24"/>
        </w:rPr>
        <w:t>Funzio</w:t>
      </w:r>
      <w:r w:rsidR="002E1085">
        <w:rPr>
          <w:rFonts w:ascii="Arial" w:hAnsi="Arial" w:cs="Arial"/>
          <w:b/>
          <w:bCs/>
          <w:sz w:val="24"/>
          <w:szCs w:val="24"/>
        </w:rPr>
        <w:t>ne</w:t>
      </w:r>
      <w:r>
        <w:rPr>
          <w:rFonts w:ascii="Arial" w:hAnsi="Arial" w:cs="Arial"/>
          <w:b/>
          <w:bCs/>
          <w:sz w:val="24"/>
          <w:szCs w:val="24"/>
        </w:rPr>
        <w:t xml:space="preserve"> di R</w:t>
      </w:r>
      <w:r w:rsidR="001E553A" w:rsidRPr="004818DA">
        <w:rPr>
          <w:rFonts w:ascii="Arial" w:hAnsi="Arial" w:cs="Arial"/>
          <w:b/>
          <w:bCs/>
          <w:sz w:val="24"/>
          <w:szCs w:val="24"/>
        </w:rPr>
        <w:t>eg</w:t>
      </w:r>
      <w:r>
        <w:rPr>
          <w:rFonts w:ascii="Arial" w:hAnsi="Arial" w:cs="Arial"/>
          <w:b/>
          <w:bCs/>
          <w:sz w:val="24"/>
          <w:szCs w:val="24"/>
        </w:rPr>
        <w:t>olazione:</w:t>
      </w:r>
      <w:r w:rsidR="002E1085">
        <w:rPr>
          <w:rFonts w:ascii="Arial" w:hAnsi="Arial" w:cs="Arial"/>
          <w:b/>
          <w:bCs/>
          <w:sz w:val="24"/>
          <w:szCs w:val="24"/>
        </w:rPr>
        <w:t xml:space="preserve"> </w:t>
      </w:r>
      <w:r w:rsidR="002E1085" w:rsidRPr="002E1085">
        <w:rPr>
          <w:rFonts w:ascii="Arial" w:hAnsi="Arial" w:cs="Arial"/>
          <w:sz w:val="24"/>
          <w:szCs w:val="24"/>
        </w:rPr>
        <w:t>sviluppo di una</w:t>
      </w:r>
      <w:r w:rsidR="001E553A">
        <w:rPr>
          <w:rFonts w:ascii="Arial" w:hAnsi="Arial" w:cs="Arial"/>
          <w:sz w:val="24"/>
          <w:szCs w:val="24"/>
        </w:rPr>
        <w:t xml:space="preserve"> gestione forestale sostenibile</w:t>
      </w:r>
      <w:r w:rsidR="001D5B1E">
        <w:rPr>
          <w:rFonts w:ascii="Arial" w:hAnsi="Arial" w:cs="Arial"/>
          <w:sz w:val="24"/>
          <w:szCs w:val="24"/>
        </w:rPr>
        <w:t xml:space="preserve"> volta ad incrementare la capacità di stoccare gas GHG</w:t>
      </w:r>
      <w:r w:rsidR="00ED4377">
        <w:rPr>
          <w:rFonts w:ascii="Arial" w:hAnsi="Arial" w:cs="Arial"/>
          <w:sz w:val="24"/>
          <w:szCs w:val="24"/>
        </w:rPr>
        <w:t xml:space="preserve"> </w:t>
      </w:r>
      <w:r w:rsidR="0095651C">
        <w:rPr>
          <w:rFonts w:ascii="Arial" w:hAnsi="Arial" w:cs="Arial"/>
          <w:sz w:val="24"/>
          <w:szCs w:val="24"/>
        </w:rPr>
        <w:t xml:space="preserve">e a prevenire </w:t>
      </w:r>
      <w:r w:rsidR="00ED4377">
        <w:rPr>
          <w:rFonts w:ascii="Arial" w:hAnsi="Arial" w:cs="Arial"/>
          <w:sz w:val="24"/>
          <w:szCs w:val="24"/>
        </w:rPr>
        <w:t xml:space="preserve">i </w:t>
      </w:r>
      <w:r w:rsidR="005D69CA">
        <w:rPr>
          <w:rFonts w:ascii="Arial" w:hAnsi="Arial" w:cs="Arial"/>
          <w:sz w:val="24"/>
          <w:szCs w:val="24"/>
        </w:rPr>
        <w:t xml:space="preserve">possibili </w:t>
      </w:r>
      <w:r w:rsidR="00ED4377">
        <w:rPr>
          <w:rFonts w:ascii="Arial" w:hAnsi="Arial" w:cs="Arial"/>
          <w:sz w:val="24"/>
          <w:szCs w:val="24"/>
        </w:rPr>
        <w:t>danni da incendi o schianti</w:t>
      </w:r>
      <w:r w:rsidR="00A94C15">
        <w:rPr>
          <w:rFonts w:ascii="Arial" w:hAnsi="Arial" w:cs="Arial"/>
          <w:sz w:val="24"/>
          <w:szCs w:val="24"/>
        </w:rPr>
        <w:t>;</w:t>
      </w:r>
    </w:p>
    <w:p w14:paraId="2716B12A" w14:textId="746E5DC3" w:rsidR="00735059" w:rsidRDefault="0095651C" w:rsidP="000D531D">
      <w:pPr>
        <w:pStyle w:val="Corpotesto"/>
        <w:numPr>
          <w:ilvl w:val="0"/>
          <w:numId w:val="2"/>
        </w:numPr>
        <w:ind w:right="45"/>
        <w:jc w:val="both"/>
        <w:rPr>
          <w:rFonts w:ascii="Arial" w:hAnsi="Arial" w:cs="Arial"/>
          <w:sz w:val="24"/>
          <w:szCs w:val="24"/>
        </w:rPr>
      </w:pPr>
      <w:r>
        <w:rPr>
          <w:rFonts w:ascii="Arial" w:hAnsi="Arial" w:cs="Arial"/>
          <w:b/>
          <w:bCs/>
          <w:sz w:val="24"/>
          <w:szCs w:val="24"/>
        </w:rPr>
        <w:t>Funzione di Fornitura</w:t>
      </w:r>
      <w:r w:rsidR="00A94C15">
        <w:rPr>
          <w:rFonts w:ascii="Arial" w:hAnsi="Arial" w:cs="Arial"/>
          <w:sz w:val="24"/>
          <w:szCs w:val="24"/>
        </w:rPr>
        <w:t xml:space="preserve">: </w:t>
      </w:r>
      <w:r w:rsidR="00D42278">
        <w:rPr>
          <w:rFonts w:ascii="Arial" w:hAnsi="Arial" w:cs="Arial"/>
          <w:sz w:val="24"/>
          <w:szCs w:val="24"/>
        </w:rPr>
        <w:t xml:space="preserve">migliorando l’impronta ambientale delle filiere </w:t>
      </w:r>
      <w:r w:rsidR="005D69CA">
        <w:rPr>
          <w:rFonts w:ascii="Arial" w:hAnsi="Arial" w:cs="Arial"/>
          <w:sz w:val="24"/>
          <w:szCs w:val="24"/>
        </w:rPr>
        <w:t>foresta-</w:t>
      </w:r>
      <w:r w:rsidR="00D42278">
        <w:rPr>
          <w:rFonts w:ascii="Arial" w:hAnsi="Arial" w:cs="Arial"/>
          <w:sz w:val="24"/>
          <w:szCs w:val="24"/>
        </w:rPr>
        <w:t>legno;</w:t>
      </w:r>
    </w:p>
    <w:p w14:paraId="0A53E324" w14:textId="491002A4" w:rsidR="00D42278" w:rsidRDefault="0095651C" w:rsidP="000D531D">
      <w:pPr>
        <w:pStyle w:val="Corpotesto"/>
        <w:numPr>
          <w:ilvl w:val="0"/>
          <w:numId w:val="2"/>
        </w:numPr>
        <w:ind w:right="45"/>
        <w:jc w:val="both"/>
        <w:rPr>
          <w:rFonts w:ascii="Arial" w:hAnsi="Arial" w:cs="Arial"/>
          <w:sz w:val="24"/>
          <w:szCs w:val="24"/>
        </w:rPr>
      </w:pPr>
      <w:r>
        <w:rPr>
          <w:rFonts w:ascii="Arial" w:hAnsi="Arial" w:cs="Arial"/>
          <w:b/>
          <w:bCs/>
          <w:sz w:val="24"/>
          <w:szCs w:val="24"/>
        </w:rPr>
        <w:t xml:space="preserve">Funzione </w:t>
      </w:r>
      <w:r w:rsidR="00D42278" w:rsidRPr="004818DA">
        <w:rPr>
          <w:rFonts w:ascii="Arial" w:hAnsi="Arial" w:cs="Arial"/>
          <w:b/>
          <w:bCs/>
          <w:sz w:val="24"/>
          <w:szCs w:val="24"/>
        </w:rPr>
        <w:t>Cultural</w:t>
      </w:r>
      <w:r w:rsidR="00F74903">
        <w:rPr>
          <w:rFonts w:ascii="Arial" w:hAnsi="Arial" w:cs="Arial"/>
          <w:b/>
          <w:bCs/>
          <w:sz w:val="24"/>
          <w:szCs w:val="24"/>
        </w:rPr>
        <w:t>e</w:t>
      </w:r>
      <w:r w:rsidR="008B4B88">
        <w:rPr>
          <w:rFonts w:ascii="Arial" w:hAnsi="Arial" w:cs="Arial"/>
          <w:sz w:val="24"/>
          <w:szCs w:val="24"/>
        </w:rPr>
        <w:t xml:space="preserve">: valutando l’impatto ambientale e </w:t>
      </w:r>
      <w:r w:rsidR="005D69CA">
        <w:rPr>
          <w:rFonts w:ascii="Arial" w:hAnsi="Arial" w:cs="Arial"/>
          <w:sz w:val="24"/>
          <w:szCs w:val="24"/>
        </w:rPr>
        <w:t>socioeconomico</w:t>
      </w:r>
      <w:r w:rsidR="008B4B88">
        <w:rPr>
          <w:rFonts w:ascii="Arial" w:hAnsi="Arial" w:cs="Arial"/>
          <w:sz w:val="24"/>
          <w:szCs w:val="24"/>
        </w:rPr>
        <w:t xml:space="preserve"> del turismo dei cercatori di funghi. </w:t>
      </w:r>
    </w:p>
    <w:p w14:paraId="5CA48BAF" w14:textId="26E2950E" w:rsidR="008B4B88" w:rsidRDefault="008B4B88" w:rsidP="006332E1">
      <w:pPr>
        <w:pStyle w:val="Corpotesto"/>
        <w:ind w:right="45"/>
        <w:jc w:val="both"/>
        <w:rPr>
          <w:rFonts w:ascii="Arial" w:hAnsi="Arial" w:cs="Arial"/>
          <w:sz w:val="24"/>
          <w:szCs w:val="24"/>
        </w:rPr>
      </w:pPr>
    </w:p>
    <w:p w14:paraId="5D7D1426" w14:textId="31673B1F" w:rsidR="004818DA" w:rsidRDefault="00051AF7" w:rsidP="006332E1">
      <w:pPr>
        <w:pStyle w:val="Corpotesto"/>
        <w:ind w:right="45" w:firstLine="567"/>
        <w:jc w:val="both"/>
        <w:rPr>
          <w:rFonts w:ascii="Arial" w:hAnsi="Arial" w:cs="Arial"/>
          <w:sz w:val="24"/>
          <w:szCs w:val="24"/>
        </w:rPr>
      </w:pPr>
      <w:r>
        <w:rPr>
          <w:rFonts w:ascii="Arial" w:hAnsi="Arial" w:cs="Arial"/>
          <w:sz w:val="24"/>
          <w:szCs w:val="24"/>
        </w:rPr>
        <w:t xml:space="preserve">Le attività progettuali </w:t>
      </w:r>
      <w:r w:rsidR="00DE21D6">
        <w:rPr>
          <w:rFonts w:ascii="Arial" w:hAnsi="Arial" w:cs="Arial"/>
          <w:sz w:val="24"/>
          <w:szCs w:val="24"/>
        </w:rPr>
        <w:t>sono finalizzate a definire</w:t>
      </w:r>
      <w:r>
        <w:rPr>
          <w:rFonts w:ascii="Arial" w:hAnsi="Arial" w:cs="Arial"/>
          <w:sz w:val="24"/>
          <w:szCs w:val="24"/>
        </w:rPr>
        <w:t xml:space="preserve"> </w:t>
      </w:r>
      <w:r w:rsidR="00C0767D">
        <w:rPr>
          <w:rFonts w:ascii="Arial" w:hAnsi="Arial" w:cs="Arial"/>
          <w:sz w:val="24"/>
          <w:szCs w:val="24"/>
        </w:rPr>
        <w:t xml:space="preserve">gli </w:t>
      </w:r>
      <w:r>
        <w:rPr>
          <w:rFonts w:ascii="Arial" w:hAnsi="Arial" w:cs="Arial"/>
          <w:sz w:val="24"/>
          <w:szCs w:val="24"/>
        </w:rPr>
        <w:t>strumenti di intervento</w:t>
      </w:r>
      <w:r w:rsidR="00797EBA">
        <w:rPr>
          <w:rFonts w:ascii="Arial" w:hAnsi="Arial" w:cs="Arial"/>
          <w:sz w:val="24"/>
          <w:szCs w:val="24"/>
        </w:rPr>
        <w:t xml:space="preserve"> tecnici </w:t>
      </w:r>
      <w:r w:rsidR="00FE69A6">
        <w:rPr>
          <w:rFonts w:ascii="Arial" w:hAnsi="Arial" w:cs="Arial"/>
          <w:sz w:val="24"/>
          <w:szCs w:val="24"/>
        </w:rPr>
        <w:t xml:space="preserve">e </w:t>
      </w:r>
      <w:r w:rsidR="00C0767D">
        <w:rPr>
          <w:rFonts w:ascii="Arial" w:hAnsi="Arial" w:cs="Arial"/>
          <w:sz w:val="24"/>
          <w:szCs w:val="24"/>
        </w:rPr>
        <w:t xml:space="preserve">i </w:t>
      </w:r>
      <w:r w:rsidR="00FE69A6">
        <w:rPr>
          <w:rFonts w:ascii="Arial" w:hAnsi="Arial" w:cs="Arial"/>
          <w:sz w:val="24"/>
          <w:szCs w:val="24"/>
        </w:rPr>
        <w:t>metodi di monitoraggio per valutare la loro efficacia</w:t>
      </w:r>
      <w:r w:rsidR="00F932AA">
        <w:rPr>
          <w:rFonts w:ascii="Arial" w:hAnsi="Arial" w:cs="Arial"/>
          <w:sz w:val="24"/>
          <w:szCs w:val="24"/>
        </w:rPr>
        <w:t xml:space="preserve">, ma sono anche orientate a </w:t>
      </w:r>
      <w:r w:rsidR="00797EBA">
        <w:rPr>
          <w:rFonts w:ascii="Arial" w:hAnsi="Arial" w:cs="Arial"/>
          <w:sz w:val="24"/>
          <w:szCs w:val="24"/>
        </w:rPr>
        <w:t xml:space="preserve">fornire </w:t>
      </w:r>
      <w:r w:rsidR="007015E1">
        <w:rPr>
          <w:rFonts w:ascii="Arial" w:hAnsi="Arial" w:cs="Arial"/>
          <w:sz w:val="24"/>
          <w:szCs w:val="24"/>
        </w:rPr>
        <w:t xml:space="preserve">i mezzi per </w:t>
      </w:r>
      <w:r w:rsidR="00215B4A">
        <w:rPr>
          <w:rFonts w:ascii="Arial" w:hAnsi="Arial" w:cs="Arial"/>
          <w:sz w:val="24"/>
          <w:szCs w:val="24"/>
        </w:rPr>
        <w:t>l</w:t>
      </w:r>
      <w:r w:rsidR="007015E1">
        <w:rPr>
          <w:rFonts w:ascii="Arial" w:hAnsi="Arial" w:cs="Arial"/>
          <w:sz w:val="24"/>
          <w:szCs w:val="24"/>
        </w:rPr>
        <w:t>a sostenibilità economica di questi interventi</w:t>
      </w:r>
      <w:r w:rsidR="00D93E67">
        <w:rPr>
          <w:rFonts w:ascii="Arial" w:hAnsi="Arial" w:cs="Arial"/>
          <w:sz w:val="24"/>
          <w:szCs w:val="24"/>
        </w:rPr>
        <w:t>.</w:t>
      </w:r>
      <w:r w:rsidR="007015E1">
        <w:rPr>
          <w:rFonts w:ascii="Arial" w:hAnsi="Arial" w:cs="Arial"/>
          <w:sz w:val="24"/>
          <w:szCs w:val="24"/>
        </w:rPr>
        <w:t xml:space="preserve"> </w:t>
      </w:r>
      <w:r w:rsidR="001A2521">
        <w:rPr>
          <w:rFonts w:ascii="Arial" w:hAnsi="Arial" w:cs="Arial"/>
          <w:sz w:val="24"/>
          <w:szCs w:val="24"/>
        </w:rPr>
        <w:t>T</w:t>
      </w:r>
      <w:r w:rsidR="00181400">
        <w:rPr>
          <w:rFonts w:ascii="Arial" w:hAnsi="Arial" w:cs="Arial"/>
          <w:sz w:val="24"/>
          <w:szCs w:val="24"/>
        </w:rPr>
        <w:t>a</w:t>
      </w:r>
      <w:r w:rsidR="001A2521">
        <w:rPr>
          <w:rFonts w:ascii="Arial" w:hAnsi="Arial" w:cs="Arial"/>
          <w:sz w:val="24"/>
          <w:szCs w:val="24"/>
        </w:rPr>
        <w:t>li mezzi</w:t>
      </w:r>
      <w:r w:rsidR="00A74CE3">
        <w:rPr>
          <w:rFonts w:ascii="Arial" w:hAnsi="Arial" w:cs="Arial"/>
          <w:sz w:val="24"/>
          <w:szCs w:val="24"/>
        </w:rPr>
        <w:t xml:space="preserve"> per garantire la sostenibilità economica</w:t>
      </w:r>
      <w:r w:rsidR="001A2521">
        <w:rPr>
          <w:rFonts w:ascii="Arial" w:hAnsi="Arial" w:cs="Arial"/>
          <w:sz w:val="24"/>
          <w:szCs w:val="24"/>
        </w:rPr>
        <w:t xml:space="preserve"> sono </w:t>
      </w:r>
      <w:r w:rsidR="00A40498">
        <w:rPr>
          <w:rFonts w:ascii="Arial" w:hAnsi="Arial" w:cs="Arial"/>
          <w:sz w:val="24"/>
          <w:szCs w:val="24"/>
        </w:rPr>
        <w:t xml:space="preserve">pensati nel progetto come </w:t>
      </w:r>
      <w:r w:rsidR="00A40498" w:rsidRPr="00E13990">
        <w:rPr>
          <w:rFonts w:ascii="Arial" w:hAnsi="Arial" w:cs="Arial"/>
          <w:i/>
          <w:iCs/>
          <w:sz w:val="24"/>
          <w:szCs w:val="24"/>
        </w:rPr>
        <w:t xml:space="preserve">crediti </w:t>
      </w:r>
      <w:r w:rsidR="00E13990" w:rsidRPr="00E13990">
        <w:rPr>
          <w:rFonts w:ascii="Arial" w:hAnsi="Arial" w:cs="Arial"/>
          <w:i/>
          <w:iCs/>
          <w:sz w:val="24"/>
          <w:szCs w:val="24"/>
        </w:rPr>
        <w:t>ecosistemici o di sostenibilità</w:t>
      </w:r>
      <w:r w:rsidR="00614AEF">
        <w:rPr>
          <w:rStyle w:val="Rimandonotaapidipagina"/>
          <w:rFonts w:ascii="Arial" w:hAnsi="Arial" w:cs="Arial"/>
          <w:i/>
          <w:iCs/>
          <w:sz w:val="24"/>
          <w:szCs w:val="24"/>
        </w:rPr>
        <w:footnoteReference w:id="8"/>
      </w:r>
      <w:r w:rsidR="00E13990">
        <w:rPr>
          <w:rFonts w:ascii="Arial" w:hAnsi="Arial" w:cs="Arial"/>
          <w:sz w:val="24"/>
          <w:szCs w:val="24"/>
        </w:rPr>
        <w:t xml:space="preserve"> </w:t>
      </w:r>
      <w:r w:rsidR="00A40498">
        <w:rPr>
          <w:rFonts w:ascii="Arial" w:hAnsi="Arial" w:cs="Arial"/>
          <w:sz w:val="24"/>
          <w:szCs w:val="24"/>
        </w:rPr>
        <w:t>assimila</w:t>
      </w:r>
      <w:r w:rsidR="00E13990">
        <w:rPr>
          <w:rFonts w:ascii="Arial" w:hAnsi="Arial" w:cs="Arial"/>
          <w:sz w:val="24"/>
          <w:szCs w:val="24"/>
        </w:rPr>
        <w:t xml:space="preserve">bili </w:t>
      </w:r>
      <w:r w:rsidR="00C41926">
        <w:rPr>
          <w:rFonts w:ascii="Arial" w:hAnsi="Arial" w:cs="Arial"/>
          <w:sz w:val="24"/>
          <w:szCs w:val="24"/>
        </w:rPr>
        <w:t xml:space="preserve">idealmente </w:t>
      </w:r>
      <w:r w:rsidR="00E13990">
        <w:rPr>
          <w:rFonts w:ascii="Arial" w:hAnsi="Arial" w:cs="Arial"/>
          <w:sz w:val="24"/>
          <w:szCs w:val="24"/>
        </w:rPr>
        <w:t>ai crediti di carbonio,</w:t>
      </w:r>
      <w:r w:rsidR="00751594">
        <w:rPr>
          <w:rFonts w:ascii="Arial" w:hAnsi="Arial" w:cs="Arial"/>
          <w:sz w:val="24"/>
          <w:szCs w:val="24"/>
        </w:rPr>
        <w:t xml:space="preserve"> </w:t>
      </w:r>
      <w:r w:rsidR="0058129E">
        <w:rPr>
          <w:rFonts w:ascii="Arial" w:hAnsi="Arial" w:cs="Arial"/>
          <w:sz w:val="24"/>
          <w:szCs w:val="24"/>
        </w:rPr>
        <w:t>sebbene</w:t>
      </w:r>
      <w:r w:rsidR="00664A97">
        <w:rPr>
          <w:rFonts w:ascii="Arial" w:hAnsi="Arial" w:cs="Arial"/>
          <w:sz w:val="24"/>
          <w:szCs w:val="24"/>
        </w:rPr>
        <w:t xml:space="preserve"> con una connotazione più ampia e articolata</w:t>
      </w:r>
      <w:r w:rsidR="00181400">
        <w:rPr>
          <w:rFonts w:ascii="Arial" w:hAnsi="Arial" w:cs="Arial"/>
          <w:sz w:val="24"/>
          <w:szCs w:val="24"/>
        </w:rPr>
        <w:t xml:space="preserve">. </w:t>
      </w:r>
    </w:p>
    <w:p w14:paraId="08E90A61" w14:textId="10124855" w:rsidR="001E31A7" w:rsidRDefault="00110DC4" w:rsidP="006332E1">
      <w:pPr>
        <w:pStyle w:val="Corpotesto"/>
        <w:ind w:right="45" w:firstLine="567"/>
        <w:jc w:val="both"/>
        <w:rPr>
          <w:rFonts w:ascii="Arial" w:hAnsi="Arial" w:cs="Arial"/>
          <w:sz w:val="24"/>
          <w:szCs w:val="24"/>
        </w:rPr>
      </w:pPr>
      <w:r>
        <w:rPr>
          <w:rFonts w:ascii="Arial" w:hAnsi="Arial" w:cs="Arial"/>
          <w:sz w:val="24"/>
          <w:szCs w:val="24"/>
        </w:rPr>
        <w:t xml:space="preserve">E’ possibile </w:t>
      </w:r>
      <w:r w:rsidR="002944A1">
        <w:rPr>
          <w:rFonts w:ascii="Arial" w:hAnsi="Arial" w:cs="Arial"/>
          <w:sz w:val="24"/>
          <w:szCs w:val="24"/>
        </w:rPr>
        <w:t>definire la struttura dei crediti di sostenibilità co</w:t>
      </w:r>
      <w:r w:rsidR="00E9347C">
        <w:rPr>
          <w:rFonts w:ascii="Arial" w:hAnsi="Arial" w:cs="Arial"/>
          <w:sz w:val="24"/>
          <w:szCs w:val="24"/>
        </w:rPr>
        <w:t xml:space="preserve">n una modalità analoga a quella dei crediti di carbonio perché l’attività principale di supporto alla funzione di </w:t>
      </w:r>
      <w:r w:rsidR="00AC0859">
        <w:rPr>
          <w:rFonts w:ascii="Arial" w:hAnsi="Arial" w:cs="Arial"/>
          <w:sz w:val="24"/>
          <w:szCs w:val="24"/>
        </w:rPr>
        <w:t xml:space="preserve">regolazione </w:t>
      </w:r>
      <w:r w:rsidR="00190631">
        <w:rPr>
          <w:rFonts w:ascii="Arial" w:hAnsi="Arial" w:cs="Arial"/>
          <w:sz w:val="24"/>
          <w:szCs w:val="24"/>
        </w:rPr>
        <w:t xml:space="preserve">che verrà sviluppata nel progetto </w:t>
      </w:r>
      <w:r w:rsidR="00044635">
        <w:rPr>
          <w:rFonts w:ascii="Arial" w:hAnsi="Arial" w:cs="Arial"/>
          <w:sz w:val="24"/>
          <w:szCs w:val="24"/>
        </w:rPr>
        <w:t>è una</w:t>
      </w:r>
      <w:r w:rsidR="00AC0859">
        <w:rPr>
          <w:rFonts w:ascii="Arial" w:hAnsi="Arial" w:cs="Arial"/>
          <w:sz w:val="24"/>
          <w:szCs w:val="24"/>
        </w:rPr>
        <w:t xml:space="preserve"> gestione forestale sostenibile </w:t>
      </w:r>
      <w:r w:rsidR="00044635">
        <w:rPr>
          <w:rFonts w:ascii="Arial" w:hAnsi="Arial" w:cs="Arial"/>
          <w:sz w:val="24"/>
          <w:szCs w:val="24"/>
        </w:rPr>
        <w:t>finalizzata a generare</w:t>
      </w:r>
      <w:r w:rsidR="00FF1E2A">
        <w:rPr>
          <w:rFonts w:ascii="Arial" w:hAnsi="Arial" w:cs="Arial"/>
          <w:sz w:val="24"/>
          <w:szCs w:val="24"/>
        </w:rPr>
        <w:t xml:space="preserve"> un maggior livello di stoccaggio della CO</w:t>
      </w:r>
      <w:r w:rsidR="00FF1E2A" w:rsidRPr="00423453">
        <w:rPr>
          <w:rFonts w:ascii="Arial" w:hAnsi="Arial" w:cs="Arial"/>
          <w:sz w:val="24"/>
          <w:szCs w:val="24"/>
          <w:vertAlign w:val="subscript"/>
        </w:rPr>
        <w:t>2</w:t>
      </w:r>
      <w:r w:rsidR="00FF1E2A">
        <w:rPr>
          <w:rFonts w:ascii="Arial" w:hAnsi="Arial" w:cs="Arial"/>
          <w:sz w:val="24"/>
          <w:szCs w:val="24"/>
        </w:rPr>
        <w:t xml:space="preserve"> ne</w:t>
      </w:r>
      <w:r w:rsidR="00096610">
        <w:rPr>
          <w:rFonts w:ascii="Arial" w:hAnsi="Arial" w:cs="Arial"/>
          <w:sz w:val="24"/>
          <w:szCs w:val="24"/>
        </w:rPr>
        <w:t>i pozzi costituiti dalle foreste</w:t>
      </w:r>
      <w:r w:rsidR="001D2159">
        <w:rPr>
          <w:rFonts w:ascii="Arial" w:hAnsi="Arial" w:cs="Arial"/>
          <w:sz w:val="24"/>
          <w:szCs w:val="24"/>
        </w:rPr>
        <w:t xml:space="preserve">, sia stimolando </w:t>
      </w:r>
      <w:r w:rsidR="003C653B">
        <w:rPr>
          <w:rFonts w:ascii="Arial" w:hAnsi="Arial" w:cs="Arial"/>
          <w:sz w:val="24"/>
          <w:szCs w:val="24"/>
        </w:rPr>
        <w:t xml:space="preserve">la rigenerazione e la resilienza della foresta tagliando le piante più vecchie, </w:t>
      </w:r>
      <w:r w:rsidR="005D69CA">
        <w:rPr>
          <w:rFonts w:ascii="Arial" w:hAnsi="Arial" w:cs="Arial"/>
          <w:sz w:val="24"/>
          <w:szCs w:val="24"/>
        </w:rPr>
        <w:t>che</w:t>
      </w:r>
      <w:r w:rsidR="003C653B">
        <w:rPr>
          <w:rFonts w:ascii="Arial" w:hAnsi="Arial" w:cs="Arial"/>
          <w:sz w:val="24"/>
          <w:szCs w:val="24"/>
        </w:rPr>
        <w:t xml:space="preserve"> </w:t>
      </w:r>
      <w:r w:rsidR="0013688D">
        <w:rPr>
          <w:rFonts w:ascii="Arial" w:hAnsi="Arial" w:cs="Arial"/>
          <w:sz w:val="24"/>
          <w:szCs w:val="24"/>
        </w:rPr>
        <w:t xml:space="preserve">attuando misure di prevenzione da incendi e schianti da eventi </w:t>
      </w:r>
      <w:r w:rsidR="0050492D">
        <w:rPr>
          <w:rFonts w:ascii="Arial" w:hAnsi="Arial" w:cs="Arial"/>
          <w:sz w:val="24"/>
          <w:szCs w:val="24"/>
        </w:rPr>
        <w:t>me</w:t>
      </w:r>
      <w:r w:rsidR="0013688D">
        <w:rPr>
          <w:rFonts w:ascii="Arial" w:hAnsi="Arial" w:cs="Arial"/>
          <w:sz w:val="24"/>
          <w:szCs w:val="24"/>
        </w:rPr>
        <w:t>tereologici estremi</w:t>
      </w:r>
      <w:r w:rsidR="0050492D">
        <w:rPr>
          <w:rFonts w:ascii="Arial" w:hAnsi="Arial" w:cs="Arial"/>
          <w:sz w:val="24"/>
          <w:szCs w:val="24"/>
        </w:rPr>
        <w:t xml:space="preserve">. </w:t>
      </w:r>
      <w:r w:rsidR="006A6505">
        <w:rPr>
          <w:rFonts w:ascii="Arial" w:hAnsi="Arial" w:cs="Arial"/>
          <w:sz w:val="24"/>
          <w:szCs w:val="24"/>
        </w:rPr>
        <w:t>Questo consente di misurare il risultato d</w:t>
      </w:r>
      <w:r w:rsidR="00B72205">
        <w:rPr>
          <w:rFonts w:ascii="Arial" w:hAnsi="Arial" w:cs="Arial"/>
          <w:sz w:val="24"/>
          <w:szCs w:val="24"/>
        </w:rPr>
        <w:t>i questa attività di gestione forestale in termini di incremento addizionale di CO</w:t>
      </w:r>
      <w:r w:rsidR="00B72205" w:rsidRPr="00423453">
        <w:rPr>
          <w:rFonts w:ascii="Arial" w:hAnsi="Arial" w:cs="Arial"/>
          <w:sz w:val="24"/>
          <w:szCs w:val="24"/>
          <w:vertAlign w:val="subscript"/>
        </w:rPr>
        <w:t>2</w:t>
      </w:r>
      <w:r w:rsidR="00B72205">
        <w:rPr>
          <w:rFonts w:ascii="Arial" w:hAnsi="Arial" w:cs="Arial"/>
          <w:sz w:val="24"/>
          <w:szCs w:val="24"/>
        </w:rPr>
        <w:t xml:space="preserve"> stoccata nei pozzi di carbonio forestali, c</w:t>
      </w:r>
      <w:r w:rsidR="00FC6BA2">
        <w:rPr>
          <w:rFonts w:ascii="Arial" w:hAnsi="Arial" w:cs="Arial"/>
          <w:sz w:val="24"/>
          <w:szCs w:val="24"/>
        </w:rPr>
        <w:t>on specifico riferimento alle tre aree sperimentali del Progetto CO2PES&amp;PEF, ovvero l’area d</w:t>
      </w:r>
      <w:r w:rsidR="008632F5">
        <w:rPr>
          <w:rFonts w:ascii="Arial" w:hAnsi="Arial" w:cs="Arial"/>
          <w:sz w:val="24"/>
          <w:szCs w:val="24"/>
        </w:rPr>
        <w:t xml:space="preserve">elle </w:t>
      </w:r>
      <w:proofErr w:type="spellStart"/>
      <w:r w:rsidR="008632F5">
        <w:rPr>
          <w:rFonts w:ascii="Arial" w:hAnsi="Arial" w:cs="Arial"/>
          <w:sz w:val="24"/>
          <w:szCs w:val="24"/>
        </w:rPr>
        <w:t>Comunalie</w:t>
      </w:r>
      <w:proofErr w:type="spellEnd"/>
      <w:r w:rsidR="008632F5">
        <w:rPr>
          <w:rFonts w:ascii="Arial" w:hAnsi="Arial" w:cs="Arial"/>
          <w:sz w:val="24"/>
          <w:szCs w:val="24"/>
        </w:rPr>
        <w:t xml:space="preserve"> Parmensi e il Demanio Forestale Forlivese in Emilia</w:t>
      </w:r>
      <w:r w:rsidR="00B80A3D">
        <w:rPr>
          <w:rFonts w:ascii="Arial" w:hAnsi="Arial" w:cs="Arial"/>
          <w:sz w:val="24"/>
          <w:szCs w:val="24"/>
        </w:rPr>
        <w:t>-</w:t>
      </w:r>
      <w:r w:rsidR="008632F5">
        <w:rPr>
          <w:rFonts w:ascii="Arial" w:hAnsi="Arial" w:cs="Arial"/>
          <w:sz w:val="24"/>
          <w:szCs w:val="24"/>
        </w:rPr>
        <w:t xml:space="preserve">Romagna e l’area di Fusine in </w:t>
      </w:r>
      <w:proofErr w:type="gramStart"/>
      <w:r w:rsidR="008632F5">
        <w:rPr>
          <w:rFonts w:ascii="Arial" w:hAnsi="Arial" w:cs="Arial"/>
          <w:sz w:val="24"/>
          <w:szCs w:val="24"/>
        </w:rPr>
        <w:t>Friuli Venezia Giulia</w:t>
      </w:r>
      <w:proofErr w:type="gramEnd"/>
      <w:r w:rsidR="008632F5">
        <w:rPr>
          <w:rFonts w:ascii="Arial" w:hAnsi="Arial" w:cs="Arial"/>
          <w:sz w:val="24"/>
          <w:szCs w:val="24"/>
        </w:rPr>
        <w:t xml:space="preserve">. </w:t>
      </w:r>
    </w:p>
    <w:p w14:paraId="4F68C0B3" w14:textId="600AA803" w:rsidR="004D1CCE" w:rsidRDefault="00056F21" w:rsidP="006332E1">
      <w:pPr>
        <w:pStyle w:val="Corpotesto"/>
        <w:ind w:right="45" w:firstLine="567"/>
        <w:jc w:val="both"/>
        <w:rPr>
          <w:rFonts w:ascii="Arial" w:hAnsi="Arial" w:cs="Arial"/>
          <w:sz w:val="24"/>
          <w:szCs w:val="24"/>
        </w:rPr>
      </w:pPr>
      <w:r>
        <w:rPr>
          <w:rFonts w:ascii="Arial" w:hAnsi="Arial" w:cs="Arial"/>
          <w:sz w:val="24"/>
          <w:szCs w:val="24"/>
        </w:rPr>
        <w:t xml:space="preserve">Fondare il credito </w:t>
      </w:r>
      <w:r w:rsidR="00DA21CF">
        <w:rPr>
          <w:rFonts w:ascii="Arial" w:hAnsi="Arial" w:cs="Arial"/>
          <w:sz w:val="24"/>
          <w:szCs w:val="24"/>
        </w:rPr>
        <w:t xml:space="preserve">ecosistemico </w:t>
      </w:r>
      <w:r>
        <w:rPr>
          <w:rFonts w:ascii="Arial" w:hAnsi="Arial" w:cs="Arial"/>
          <w:sz w:val="24"/>
          <w:szCs w:val="24"/>
        </w:rPr>
        <w:t>solo sull’incremento di CO</w:t>
      </w:r>
      <w:r w:rsidRPr="00423453">
        <w:rPr>
          <w:rFonts w:ascii="Arial" w:hAnsi="Arial" w:cs="Arial"/>
          <w:sz w:val="24"/>
          <w:szCs w:val="24"/>
          <w:vertAlign w:val="subscript"/>
        </w:rPr>
        <w:t>2</w:t>
      </w:r>
      <w:r>
        <w:rPr>
          <w:rFonts w:ascii="Arial" w:hAnsi="Arial" w:cs="Arial"/>
          <w:sz w:val="24"/>
          <w:szCs w:val="24"/>
        </w:rPr>
        <w:t xml:space="preserve"> generata nel tempo è </w:t>
      </w:r>
      <w:r w:rsidR="00BF3037">
        <w:rPr>
          <w:rFonts w:ascii="Arial" w:hAnsi="Arial" w:cs="Arial"/>
          <w:sz w:val="24"/>
          <w:szCs w:val="24"/>
        </w:rPr>
        <w:t xml:space="preserve">sicuramente riduttivo, perché non contempla un importante set di attività </w:t>
      </w:r>
      <w:r w:rsidR="008D183C">
        <w:rPr>
          <w:rFonts w:ascii="Arial" w:hAnsi="Arial" w:cs="Arial"/>
          <w:sz w:val="24"/>
          <w:szCs w:val="24"/>
        </w:rPr>
        <w:t xml:space="preserve">ecosistemiche che sono </w:t>
      </w:r>
      <w:r w:rsidR="00263851">
        <w:rPr>
          <w:rFonts w:ascii="Arial" w:hAnsi="Arial" w:cs="Arial"/>
          <w:sz w:val="24"/>
          <w:szCs w:val="24"/>
        </w:rPr>
        <w:t xml:space="preserve">sviluppate in parallelo a </w:t>
      </w:r>
      <w:r w:rsidR="00C41368">
        <w:rPr>
          <w:rFonts w:ascii="Arial" w:hAnsi="Arial" w:cs="Arial"/>
          <w:sz w:val="24"/>
          <w:szCs w:val="24"/>
        </w:rPr>
        <w:t xml:space="preserve">quelle di regolazione, come la prevenzione del rischio idrogeologico, la gestione delle acque, la biodiversità, etc. </w:t>
      </w:r>
      <w:r w:rsidR="005640E3">
        <w:rPr>
          <w:rFonts w:ascii="Arial" w:hAnsi="Arial" w:cs="Arial"/>
          <w:sz w:val="24"/>
          <w:szCs w:val="24"/>
        </w:rPr>
        <w:t xml:space="preserve">Alcune di queste, come la prevenzione del rischio idrogeologico </w:t>
      </w:r>
      <w:r w:rsidR="00171DE2">
        <w:rPr>
          <w:rFonts w:ascii="Arial" w:hAnsi="Arial" w:cs="Arial"/>
          <w:sz w:val="24"/>
          <w:szCs w:val="24"/>
        </w:rPr>
        <w:t>sono espli</w:t>
      </w:r>
      <w:r w:rsidR="00595FD9">
        <w:rPr>
          <w:rFonts w:ascii="Arial" w:hAnsi="Arial" w:cs="Arial"/>
          <w:sz w:val="24"/>
          <w:szCs w:val="24"/>
        </w:rPr>
        <w:t>citamente considerate nel progetto e sono di fatto integrate in parte negli strumenti di gestione forestale</w:t>
      </w:r>
      <w:r w:rsidR="005933EF">
        <w:rPr>
          <w:rFonts w:ascii="Arial" w:hAnsi="Arial" w:cs="Arial"/>
          <w:sz w:val="24"/>
          <w:szCs w:val="24"/>
        </w:rPr>
        <w:t xml:space="preserve"> mentre altre </w:t>
      </w:r>
      <w:r w:rsidR="00D710C0">
        <w:rPr>
          <w:rFonts w:ascii="Arial" w:hAnsi="Arial" w:cs="Arial"/>
          <w:sz w:val="24"/>
          <w:szCs w:val="24"/>
        </w:rPr>
        <w:t xml:space="preserve">– come la biodiversità – sono attività che potrebbero essere integrate in futuro </w:t>
      </w:r>
      <w:r w:rsidR="004E671C">
        <w:rPr>
          <w:rFonts w:ascii="Arial" w:hAnsi="Arial" w:cs="Arial"/>
          <w:sz w:val="24"/>
          <w:szCs w:val="24"/>
        </w:rPr>
        <w:t xml:space="preserve">nel set degli strumenti di gestione forestale sostenibile che verranno sviluppati nel progetto. </w:t>
      </w:r>
    </w:p>
    <w:p w14:paraId="4E28F1CF" w14:textId="132F200E" w:rsidR="004E671C" w:rsidRDefault="00D47E8E" w:rsidP="006332E1">
      <w:pPr>
        <w:pStyle w:val="Corpotesto"/>
        <w:ind w:right="45" w:firstLine="567"/>
        <w:jc w:val="both"/>
        <w:rPr>
          <w:rFonts w:ascii="Arial" w:hAnsi="Arial" w:cs="Arial"/>
          <w:sz w:val="24"/>
          <w:szCs w:val="24"/>
        </w:rPr>
      </w:pPr>
      <w:r>
        <w:rPr>
          <w:rFonts w:ascii="Arial" w:hAnsi="Arial" w:cs="Arial"/>
          <w:sz w:val="24"/>
          <w:szCs w:val="24"/>
        </w:rPr>
        <w:t>Tuttavia, la scelta di fondare i crediti di sostenibilità</w:t>
      </w:r>
      <w:r w:rsidR="008F07AE">
        <w:rPr>
          <w:rFonts w:ascii="Arial" w:hAnsi="Arial" w:cs="Arial"/>
          <w:sz w:val="24"/>
          <w:szCs w:val="24"/>
        </w:rPr>
        <w:t xml:space="preserve"> sulle tonnellate di C</w:t>
      </w:r>
      <w:r w:rsidR="00D46470">
        <w:rPr>
          <w:rFonts w:ascii="Arial" w:hAnsi="Arial" w:cs="Arial"/>
          <w:sz w:val="24"/>
          <w:szCs w:val="24"/>
        </w:rPr>
        <w:t>O</w:t>
      </w:r>
      <w:r w:rsidR="008F07AE">
        <w:rPr>
          <w:rFonts w:ascii="Arial" w:hAnsi="Arial" w:cs="Arial"/>
          <w:sz w:val="24"/>
          <w:szCs w:val="24"/>
        </w:rPr>
        <w:t>2 stoccate presenta due vantaggi di notevole portata:</w:t>
      </w:r>
    </w:p>
    <w:p w14:paraId="4339B751" w14:textId="183A65AF" w:rsidR="008F07AE" w:rsidRDefault="008F07AE" w:rsidP="006332E1">
      <w:pPr>
        <w:pStyle w:val="Corpotesto"/>
        <w:ind w:right="45" w:firstLine="567"/>
        <w:jc w:val="both"/>
        <w:rPr>
          <w:rFonts w:ascii="Arial" w:hAnsi="Arial" w:cs="Arial"/>
          <w:sz w:val="24"/>
          <w:szCs w:val="24"/>
        </w:rPr>
      </w:pPr>
    </w:p>
    <w:p w14:paraId="135BBA73" w14:textId="4C04058F" w:rsidR="008F07AE" w:rsidRDefault="00C26A0E" w:rsidP="000D531D">
      <w:pPr>
        <w:pStyle w:val="Corpotesto"/>
        <w:numPr>
          <w:ilvl w:val="0"/>
          <w:numId w:val="8"/>
        </w:numPr>
        <w:ind w:right="45"/>
        <w:jc w:val="both"/>
        <w:rPr>
          <w:rFonts w:ascii="Arial" w:hAnsi="Arial" w:cs="Arial"/>
          <w:sz w:val="24"/>
          <w:szCs w:val="24"/>
        </w:rPr>
      </w:pPr>
      <w:r>
        <w:rPr>
          <w:rFonts w:ascii="Arial" w:hAnsi="Arial" w:cs="Arial"/>
          <w:sz w:val="24"/>
          <w:szCs w:val="24"/>
        </w:rPr>
        <w:t xml:space="preserve">consente di avere un valore monetario di riferimento per </w:t>
      </w:r>
      <w:r w:rsidR="00584A3A">
        <w:rPr>
          <w:rFonts w:ascii="Arial" w:hAnsi="Arial" w:cs="Arial"/>
          <w:sz w:val="24"/>
          <w:szCs w:val="24"/>
        </w:rPr>
        <w:t>l’emissione dei crediti, in quanto la tonnellata di carbonio è l’unità di base</w:t>
      </w:r>
      <w:r w:rsidR="009C60A4">
        <w:rPr>
          <w:rFonts w:ascii="Arial" w:hAnsi="Arial" w:cs="Arial"/>
          <w:sz w:val="24"/>
          <w:szCs w:val="24"/>
        </w:rPr>
        <w:t xml:space="preserve"> degli scambi che avvengono sul mercato regolamentato EU ETS</w:t>
      </w:r>
      <w:r w:rsidR="008C2730">
        <w:rPr>
          <w:rStyle w:val="Rimandonotaapidipagina"/>
          <w:rFonts w:ascii="Arial" w:hAnsi="Arial" w:cs="Arial"/>
          <w:sz w:val="24"/>
          <w:szCs w:val="24"/>
        </w:rPr>
        <w:footnoteReference w:id="9"/>
      </w:r>
      <w:r w:rsidR="008C2730">
        <w:rPr>
          <w:rFonts w:ascii="Arial" w:hAnsi="Arial" w:cs="Arial"/>
          <w:sz w:val="24"/>
          <w:szCs w:val="24"/>
        </w:rPr>
        <w:t>;</w:t>
      </w:r>
      <w:r w:rsidR="00057526">
        <w:rPr>
          <w:rFonts w:ascii="Arial" w:hAnsi="Arial" w:cs="Arial"/>
          <w:sz w:val="24"/>
          <w:szCs w:val="24"/>
        </w:rPr>
        <w:t xml:space="preserve"> </w:t>
      </w:r>
    </w:p>
    <w:p w14:paraId="0DD7A1A7" w14:textId="53E76CBE" w:rsidR="005654F5" w:rsidRDefault="00582155" w:rsidP="000D531D">
      <w:pPr>
        <w:pStyle w:val="Corpotesto"/>
        <w:numPr>
          <w:ilvl w:val="0"/>
          <w:numId w:val="8"/>
        </w:numPr>
        <w:ind w:right="45"/>
        <w:jc w:val="both"/>
        <w:rPr>
          <w:rFonts w:ascii="Arial" w:hAnsi="Arial" w:cs="Arial"/>
          <w:sz w:val="24"/>
          <w:szCs w:val="24"/>
        </w:rPr>
      </w:pPr>
      <w:r>
        <w:rPr>
          <w:rFonts w:ascii="Arial" w:hAnsi="Arial" w:cs="Arial"/>
          <w:sz w:val="24"/>
          <w:szCs w:val="24"/>
        </w:rPr>
        <w:t>fornisce la base di riferimento per la definizione di procedure e regole che</w:t>
      </w:r>
      <w:r w:rsidR="00797253">
        <w:rPr>
          <w:rFonts w:ascii="Arial" w:hAnsi="Arial" w:cs="Arial"/>
          <w:sz w:val="24"/>
          <w:szCs w:val="24"/>
        </w:rPr>
        <w:t xml:space="preserve">, sotto certe </w:t>
      </w:r>
      <w:r w:rsidR="00797253">
        <w:rPr>
          <w:rFonts w:ascii="Arial" w:hAnsi="Arial" w:cs="Arial"/>
          <w:sz w:val="24"/>
          <w:szCs w:val="24"/>
        </w:rPr>
        <w:lastRenderedPageBreak/>
        <w:t xml:space="preserve">condizioni che </w:t>
      </w:r>
      <w:r w:rsidR="00E11C74">
        <w:rPr>
          <w:rFonts w:ascii="Arial" w:hAnsi="Arial" w:cs="Arial"/>
          <w:sz w:val="24"/>
          <w:szCs w:val="24"/>
        </w:rPr>
        <w:t>devono essere verificate</w:t>
      </w:r>
      <w:r w:rsidR="00797253">
        <w:rPr>
          <w:rFonts w:ascii="Arial" w:hAnsi="Arial" w:cs="Arial"/>
          <w:sz w:val="24"/>
          <w:szCs w:val="24"/>
        </w:rPr>
        <w:t>, potreb</w:t>
      </w:r>
      <w:r w:rsidR="00D57CFB">
        <w:rPr>
          <w:rFonts w:ascii="Arial" w:hAnsi="Arial" w:cs="Arial"/>
          <w:sz w:val="24"/>
          <w:szCs w:val="24"/>
        </w:rPr>
        <w:t>be</w:t>
      </w:r>
      <w:r w:rsidR="00797253">
        <w:rPr>
          <w:rFonts w:ascii="Arial" w:hAnsi="Arial" w:cs="Arial"/>
          <w:sz w:val="24"/>
          <w:szCs w:val="24"/>
        </w:rPr>
        <w:t>ro consentire</w:t>
      </w:r>
      <w:r w:rsidR="00034715">
        <w:rPr>
          <w:rFonts w:ascii="Arial" w:hAnsi="Arial" w:cs="Arial"/>
          <w:sz w:val="24"/>
          <w:szCs w:val="24"/>
        </w:rPr>
        <w:t xml:space="preserve"> nel lungo</w:t>
      </w:r>
      <w:r w:rsidR="009B7B48">
        <w:rPr>
          <w:rFonts w:ascii="Arial" w:hAnsi="Arial" w:cs="Arial"/>
          <w:sz w:val="24"/>
          <w:szCs w:val="24"/>
        </w:rPr>
        <w:t xml:space="preserve"> periodo</w:t>
      </w:r>
      <w:r w:rsidR="00797253">
        <w:rPr>
          <w:rFonts w:ascii="Arial" w:hAnsi="Arial" w:cs="Arial"/>
          <w:sz w:val="24"/>
          <w:szCs w:val="24"/>
        </w:rPr>
        <w:t xml:space="preserve"> </w:t>
      </w:r>
      <w:r w:rsidR="001602E1">
        <w:rPr>
          <w:rFonts w:ascii="Arial" w:hAnsi="Arial" w:cs="Arial"/>
          <w:sz w:val="24"/>
          <w:szCs w:val="24"/>
        </w:rPr>
        <w:t>la</w:t>
      </w:r>
      <w:r w:rsidR="00797253">
        <w:rPr>
          <w:rFonts w:ascii="Arial" w:hAnsi="Arial" w:cs="Arial"/>
          <w:sz w:val="24"/>
          <w:szCs w:val="24"/>
        </w:rPr>
        <w:t xml:space="preserve"> </w:t>
      </w:r>
      <w:r w:rsidR="00D57CFB">
        <w:rPr>
          <w:rFonts w:ascii="Arial" w:hAnsi="Arial" w:cs="Arial"/>
          <w:sz w:val="24"/>
          <w:szCs w:val="24"/>
        </w:rPr>
        <w:t>trasforma</w:t>
      </w:r>
      <w:r w:rsidR="001602E1">
        <w:rPr>
          <w:rFonts w:ascii="Arial" w:hAnsi="Arial" w:cs="Arial"/>
          <w:sz w:val="24"/>
          <w:szCs w:val="24"/>
        </w:rPr>
        <w:t>zione del</w:t>
      </w:r>
      <w:r w:rsidR="00797253">
        <w:rPr>
          <w:rFonts w:ascii="Arial" w:hAnsi="Arial" w:cs="Arial"/>
          <w:sz w:val="24"/>
          <w:szCs w:val="24"/>
        </w:rPr>
        <w:t xml:space="preserve">le tonnellate di CO2 </w:t>
      </w:r>
      <w:r w:rsidR="00D57CFB">
        <w:rPr>
          <w:rFonts w:ascii="Arial" w:hAnsi="Arial" w:cs="Arial"/>
          <w:sz w:val="24"/>
          <w:szCs w:val="24"/>
        </w:rPr>
        <w:t xml:space="preserve">stoccate con la gestione forestale sostenibile in </w:t>
      </w:r>
      <w:r w:rsidR="009B7B48">
        <w:rPr>
          <w:rFonts w:ascii="Arial" w:hAnsi="Arial" w:cs="Arial"/>
          <w:sz w:val="24"/>
          <w:szCs w:val="24"/>
        </w:rPr>
        <w:t>crediti utilizzabili sui mercati obbligatori</w:t>
      </w:r>
      <w:r w:rsidR="00D57CFB">
        <w:rPr>
          <w:rFonts w:ascii="Arial" w:hAnsi="Arial" w:cs="Arial"/>
          <w:sz w:val="24"/>
          <w:szCs w:val="24"/>
        </w:rPr>
        <w:t xml:space="preserve">. </w:t>
      </w:r>
    </w:p>
    <w:p w14:paraId="427A74D5" w14:textId="6EE0D8F5" w:rsidR="00D57CFB" w:rsidRDefault="00D57CFB" w:rsidP="006332E1">
      <w:pPr>
        <w:pStyle w:val="Corpotesto"/>
        <w:ind w:right="45" w:firstLine="567"/>
        <w:jc w:val="both"/>
        <w:rPr>
          <w:rFonts w:ascii="Arial" w:hAnsi="Arial" w:cs="Arial"/>
          <w:sz w:val="24"/>
          <w:szCs w:val="24"/>
        </w:rPr>
      </w:pPr>
    </w:p>
    <w:p w14:paraId="68A3E8A6" w14:textId="286D8F84" w:rsidR="007D771B" w:rsidRDefault="000C0970" w:rsidP="006332E1">
      <w:pPr>
        <w:pStyle w:val="Corpotesto"/>
        <w:ind w:right="45" w:firstLine="567"/>
        <w:jc w:val="both"/>
        <w:rPr>
          <w:rFonts w:ascii="Arial" w:hAnsi="Arial" w:cs="Arial"/>
          <w:sz w:val="24"/>
          <w:szCs w:val="24"/>
        </w:rPr>
      </w:pPr>
      <w:r>
        <w:rPr>
          <w:rFonts w:ascii="Arial" w:hAnsi="Arial" w:cs="Arial"/>
          <w:sz w:val="24"/>
          <w:szCs w:val="24"/>
        </w:rPr>
        <w:t>È</w:t>
      </w:r>
      <w:r w:rsidR="007D771B">
        <w:rPr>
          <w:rFonts w:ascii="Arial" w:hAnsi="Arial" w:cs="Arial"/>
          <w:sz w:val="24"/>
          <w:szCs w:val="24"/>
        </w:rPr>
        <w:t xml:space="preserve"> importante chiarire</w:t>
      </w:r>
      <w:r w:rsidR="0075463E">
        <w:rPr>
          <w:rFonts w:ascii="Arial" w:hAnsi="Arial" w:cs="Arial"/>
          <w:sz w:val="24"/>
          <w:szCs w:val="24"/>
        </w:rPr>
        <w:t xml:space="preserve"> subito che attualmente </w:t>
      </w:r>
      <w:r w:rsidR="0075463E" w:rsidRPr="00526B03">
        <w:rPr>
          <w:rFonts w:ascii="Arial" w:hAnsi="Arial" w:cs="Arial"/>
          <w:i/>
          <w:iCs/>
          <w:sz w:val="24"/>
          <w:szCs w:val="24"/>
        </w:rPr>
        <w:t>nessun credito di sostenibilità che contenga al proprio interno una tonnellata di CO2 addizionale</w:t>
      </w:r>
      <w:r w:rsidR="00B1152F" w:rsidRPr="00526B03">
        <w:rPr>
          <w:rFonts w:ascii="Arial" w:hAnsi="Arial" w:cs="Arial"/>
          <w:i/>
          <w:iCs/>
          <w:sz w:val="24"/>
          <w:szCs w:val="24"/>
        </w:rPr>
        <w:t xml:space="preserve"> </w:t>
      </w:r>
      <w:r w:rsidR="00A07CCA" w:rsidRPr="00526B03">
        <w:rPr>
          <w:rFonts w:ascii="Arial" w:hAnsi="Arial" w:cs="Arial"/>
          <w:i/>
          <w:iCs/>
          <w:sz w:val="24"/>
          <w:szCs w:val="24"/>
        </w:rPr>
        <w:t>può in alcun modo essere utilizzato su mercati obbligatori come EU ETS</w:t>
      </w:r>
      <w:r w:rsidR="0013423B">
        <w:rPr>
          <w:rFonts w:ascii="Arial" w:hAnsi="Arial" w:cs="Arial"/>
          <w:sz w:val="24"/>
          <w:szCs w:val="24"/>
        </w:rPr>
        <w:t xml:space="preserve">, anche se validato dalle procedure più sicure e ratificato </w:t>
      </w:r>
      <w:r w:rsidR="00AE7DB7">
        <w:rPr>
          <w:rFonts w:ascii="Arial" w:hAnsi="Arial" w:cs="Arial"/>
          <w:sz w:val="24"/>
          <w:szCs w:val="24"/>
        </w:rPr>
        <w:t>in qualche modo da enti locali. Vedremo che la normativa vigente non lo permette</w:t>
      </w:r>
      <w:r w:rsidR="00526B03">
        <w:rPr>
          <w:rFonts w:ascii="Arial" w:hAnsi="Arial" w:cs="Arial"/>
          <w:sz w:val="24"/>
          <w:szCs w:val="24"/>
        </w:rPr>
        <w:t xml:space="preserve"> in alcun modo</w:t>
      </w:r>
      <w:r w:rsidR="00A60024">
        <w:rPr>
          <w:rFonts w:ascii="Arial" w:hAnsi="Arial" w:cs="Arial"/>
          <w:sz w:val="24"/>
          <w:szCs w:val="24"/>
        </w:rPr>
        <w:t xml:space="preserve">. </w:t>
      </w:r>
      <w:r w:rsidR="00522261">
        <w:rPr>
          <w:rFonts w:ascii="Arial" w:hAnsi="Arial" w:cs="Arial"/>
          <w:sz w:val="24"/>
          <w:szCs w:val="24"/>
        </w:rPr>
        <w:t xml:space="preserve">Quello che si vuole esprimere nel punto 2 è che </w:t>
      </w:r>
      <w:r w:rsidR="00835DEB">
        <w:rPr>
          <w:rFonts w:ascii="Arial" w:hAnsi="Arial" w:cs="Arial"/>
          <w:sz w:val="24"/>
          <w:szCs w:val="24"/>
        </w:rPr>
        <w:t xml:space="preserve">in questo documento si vogliono valutare le procedure e il contesto normativo </w:t>
      </w:r>
      <w:r w:rsidR="00504200">
        <w:rPr>
          <w:rFonts w:ascii="Arial" w:hAnsi="Arial" w:cs="Arial"/>
          <w:sz w:val="24"/>
          <w:szCs w:val="24"/>
        </w:rPr>
        <w:t>che circoscrivono queste tipologie di crediti e</w:t>
      </w:r>
      <w:r w:rsidR="00D724C5">
        <w:rPr>
          <w:rFonts w:ascii="Arial" w:hAnsi="Arial" w:cs="Arial"/>
          <w:sz w:val="24"/>
          <w:szCs w:val="24"/>
        </w:rPr>
        <w:t xml:space="preserve"> si vuole identificare il tipo di modifica dell’attuale assetto normativo che potrebbe consentire </w:t>
      </w:r>
      <w:r w:rsidR="009B25C0">
        <w:rPr>
          <w:rFonts w:ascii="Arial" w:hAnsi="Arial" w:cs="Arial"/>
          <w:sz w:val="24"/>
          <w:szCs w:val="24"/>
        </w:rPr>
        <w:t>nel tempo la costruzione di un credito di sostenibilità che</w:t>
      </w:r>
      <w:r w:rsidR="0086660E">
        <w:rPr>
          <w:rFonts w:ascii="Arial" w:hAnsi="Arial" w:cs="Arial"/>
          <w:sz w:val="24"/>
          <w:szCs w:val="24"/>
        </w:rPr>
        <w:t xml:space="preserve"> in un futuro più o meno lontano</w:t>
      </w:r>
      <w:r w:rsidR="009B25C0">
        <w:rPr>
          <w:rFonts w:ascii="Arial" w:hAnsi="Arial" w:cs="Arial"/>
          <w:sz w:val="24"/>
          <w:szCs w:val="24"/>
        </w:rPr>
        <w:t xml:space="preserve"> </w:t>
      </w:r>
      <w:r w:rsidR="0086660E" w:rsidRPr="0086660E">
        <w:rPr>
          <w:rFonts w:ascii="Arial" w:hAnsi="Arial" w:cs="Arial"/>
          <w:b/>
          <w:bCs/>
          <w:i/>
          <w:iCs/>
          <w:sz w:val="24"/>
          <w:szCs w:val="24"/>
        </w:rPr>
        <w:t>potrebbe essere</w:t>
      </w:r>
      <w:r w:rsidR="0086660E">
        <w:rPr>
          <w:rFonts w:ascii="Arial" w:hAnsi="Arial" w:cs="Arial"/>
          <w:sz w:val="24"/>
          <w:szCs w:val="24"/>
        </w:rPr>
        <w:t xml:space="preserve"> anche convalidato sui mercati obbligatori come l’EU ETS. </w:t>
      </w:r>
    </w:p>
    <w:p w14:paraId="42F01714" w14:textId="7799074C" w:rsidR="00D57CFB" w:rsidRDefault="00677DD2" w:rsidP="006332E1">
      <w:pPr>
        <w:pStyle w:val="Corpotesto"/>
        <w:ind w:right="45" w:firstLine="567"/>
        <w:jc w:val="both"/>
        <w:rPr>
          <w:rFonts w:ascii="Arial" w:hAnsi="Arial" w:cs="Arial"/>
          <w:sz w:val="24"/>
          <w:szCs w:val="24"/>
        </w:rPr>
      </w:pPr>
      <w:r>
        <w:rPr>
          <w:rFonts w:ascii="Arial" w:hAnsi="Arial" w:cs="Arial"/>
          <w:sz w:val="24"/>
          <w:szCs w:val="24"/>
        </w:rPr>
        <w:t xml:space="preserve">Un altro elemento che deve essere </w:t>
      </w:r>
      <w:r w:rsidR="007B79D4">
        <w:rPr>
          <w:rFonts w:ascii="Arial" w:hAnsi="Arial" w:cs="Arial"/>
          <w:sz w:val="24"/>
          <w:szCs w:val="24"/>
        </w:rPr>
        <w:t xml:space="preserve">precisato </w:t>
      </w:r>
      <w:r>
        <w:rPr>
          <w:rFonts w:ascii="Arial" w:hAnsi="Arial" w:cs="Arial"/>
          <w:sz w:val="24"/>
          <w:szCs w:val="24"/>
        </w:rPr>
        <w:t xml:space="preserve">è </w:t>
      </w:r>
      <w:r w:rsidR="007B79D4">
        <w:rPr>
          <w:rFonts w:ascii="Arial" w:hAnsi="Arial" w:cs="Arial"/>
          <w:sz w:val="24"/>
          <w:szCs w:val="24"/>
        </w:rPr>
        <w:t xml:space="preserve">che </w:t>
      </w:r>
      <w:r w:rsidR="00C85B21">
        <w:rPr>
          <w:rFonts w:ascii="Arial" w:hAnsi="Arial" w:cs="Arial"/>
          <w:sz w:val="24"/>
          <w:szCs w:val="24"/>
        </w:rPr>
        <w:t xml:space="preserve">il prezzo delle EUA sul mercato ETS non è l’unico strumento di valutazione del </w:t>
      </w:r>
      <w:r>
        <w:rPr>
          <w:rFonts w:ascii="Arial" w:hAnsi="Arial" w:cs="Arial"/>
          <w:sz w:val="24"/>
          <w:szCs w:val="24"/>
        </w:rPr>
        <w:t>valore dei crediti</w:t>
      </w:r>
      <w:r w:rsidR="005E1800">
        <w:rPr>
          <w:rFonts w:ascii="Arial" w:hAnsi="Arial" w:cs="Arial"/>
          <w:sz w:val="24"/>
          <w:szCs w:val="24"/>
        </w:rPr>
        <w:t xml:space="preserve"> di sostenibilità</w:t>
      </w:r>
      <w:r w:rsidR="00C85B21">
        <w:rPr>
          <w:rFonts w:ascii="Arial" w:hAnsi="Arial" w:cs="Arial"/>
          <w:sz w:val="24"/>
          <w:szCs w:val="24"/>
        </w:rPr>
        <w:t xml:space="preserve"> che verrà considerato nel progetto.</w:t>
      </w:r>
      <w:r w:rsidR="00517047">
        <w:rPr>
          <w:rFonts w:ascii="Arial" w:hAnsi="Arial" w:cs="Arial"/>
          <w:sz w:val="24"/>
          <w:szCs w:val="24"/>
        </w:rPr>
        <w:t xml:space="preserve"> Nell’azione C5 ne verranno contemplat</w:t>
      </w:r>
      <w:r w:rsidR="001F7817">
        <w:rPr>
          <w:rFonts w:ascii="Arial" w:hAnsi="Arial" w:cs="Arial"/>
          <w:sz w:val="24"/>
          <w:szCs w:val="24"/>
        </w:rPr>
        <w:t>i</w:t>
      </w:r>
      <w:r w:rsidR="00517047">
        <w:rPr>
          <w:rFonts w:ascii="Arial" w:hAnsi="Arial" w:cs="Arial"/>
          <w:sz w:val="24"/>
          <w:szCs w:val="24"/>
        </w:rPr>
        <w:t xml:space="preserve"> divers</w:t>
      </w:r>
      <w:r w:rsidR="001F7817">
        <w:rPr>
          <w:rFonts w:ascii="Arial" w:hAnsi="Arial" w:cs="Arial"/>
          <w:sz w:val="24"/>
          <w:szCs w:val="24"/>
        </w:rPr>
        <w:t>i</w:t>
      </w:r>
      <w:r w:rsidR="00517047">
        <w:rPr>
          <w:rFonts w:ascii="Arial" w:hAnsi="Arial" w:cs="Arial"/>
          <w:sz w:val="24"/>
          <w:szCs w:val="24"/>
        </w:rPr>
        <w:t xml:space="preserve"> altr</w:t>
      </w:r>
      <w:r w:rsidR="001F7817">
        <w:rPr>
          <w:rFonts w:ascii="Arial" w:hAnsi="Arial" w:cs="Arial"/>
          <w:sz w:val="24"/>
          <w:szCs w:val="24"/>
        </w:rPr>
        <w:t>i</w:t>
      </w:r>
      <w:r w:rsidR="00556EAE">
        <w:rPr>
          <w:rFonts w:ascii="Arial" w:hAnsi="Arial" w:cs="Arial"/>
          <w:sz w:val="24"/>
          <w:szCs w:val="24"/>
        </w:rPr>
        <w:t xml:space="preserve"> utilizzando metodologie diverse</w:t>
      </w:r>
      <w:r w:rsidR="000B60CA">
        <w:rPr>
          <w:rStyle w:val="Rimandonotaapidipagina"/>
          <w:rFonts w:ascii="Arial" w:hAnsi="Arial" w:cs="Arial"/>
          <w:sz w:val="24"/>
          <w:szCs w:val="24"/>
        </w:rPr>
        <w:footnoteReference w:id="10"/>
      </w:r>
      <w:r w:rsidR="00556EAE">
        <w:rPr>
          <w:rFonts w:ascii="Arial" w:hAnsi="Arial" w:cs="Arial"/>
          <w:sz w:val="24"/>
          <w:szCs w:val="24"/>
        </w:rPr>
        <w:t xml:space="preserve">, ma la disponibilità di un mercato </w:t>
      </w:r>
      <w:r w:rsidR="00B564A6">
        <w:rPr>
          <w:rFonts w:ascii="Arial" w:hAnsi="Arial" w:cs="Arial"/>
          <w:sz w:val="24"/>
          <w:szCs w:val="24"/>
        </w:rPr>
        <w:t xml:space="preserve">come l’EU ETS rappresenta un’opportunità che va studiata molto a fondo, </w:t>
      </w:r>
      <w:r w:rsidR="00AA0416">
        <w:rPr>
          <w:rFonts w:ascii="Arial" w:hAnsi="Arial" w:cs="Arial"/>
          <w:sz w:val="24"/>
          <w:szCs w:val="24"/>
        </w:rPr>
        <w:t xml:space="preserve">perché offre un prezzo di mercato ad un bene che di regola non ce l’ha in quanto è un bene pubblico. </w:t>
      </w:r>
    </w:p>
    <w:p w14:paraId="40D25502" w14:textId="4DB4C4C9" w:rsidR="005654F5" w:rsidRDefault="00CA338B" w:rsidP="006332E1">
      <w:pPr>
        <w:pStyle w:val="Corpotesto"/>
        <w:ind w:right="45" w:firstLine="567"/>
        <w:jc w:val="both"/>
        <w:rPr>
          <w:rFonts w:ascii="Arial" w:hAnsi="Arial" w:cs="Arial"/>
          <w:sz w:val="24"/>
          <w:szCs w:val="24"/>
        </w:rPr>
      </w:pPr>
      <w:r>
        <w:rPr>
          <w:rFonts w:ascii="Arial" w:hAnsi="Arial" w:cs="Arial"/>
          <w:sz w:val="24"/>
          <w:szCs w:val="24"/>
        </w:rPr>
        <w:t xml:space="preserve">Per </w:t>
      </w:r>
      <w:r w:rsidR="00422FDB">
        <w:rPr>
          <w:rFonts w:ascii="Arial" w:hAnsi="Arial" w:cs="Arial"/>
          <w:sz w:val="24"/>
          <w:szCs w:val="24"/>
        </w:rPr>
        <w:t xml:space="preserve">utilizzare i prezzi del mercato EU ETS come base di riferimento dei crediti ecosistemici è necessario </w:t>
      </w:r>
      <w:r w:rsidR="006731E3">
        <w:rPr>
          <w:rFonts w:ascii="Arial" w:hAnsi="Arial" w:cs="Arial"/>
          <w:sz w:val="24"/>
          <w:szCs w:val="24"/>
        </w:rPr>
        <w:t xml:space="preserve">inquadrare </w:t>
      </w:r>
      <w:r w:rsidR="005332A4">
        <w:rPr>
          <w:rFonts w:ascii="Arial" w:hAnsi="Arial" w:cs="Arial"/>
          <w:sz w:val="24"/>
          <w:szCs w:val="24"/>
        </w:rPr>
        <w:t>la gestione forestale sostenibile e il suo risultato in termini di CO</w:t>
      </w:r>
      <w:r w:rsidR="005332A4" w:rsidRPr="00423453">
        <w:rPr>
          <w:rFonts w:ascii="Arial" w:hAnsi="Arial" w:cs="Arial"/>
          <w:sz w:val="24"/>
          <w:szCs w:val="24"/>
          <w:vertAlign w:val="subscript"/>
        </w:rPr>
        <w:t>2</w:t>
      </w:r>
      <w:r w:rsidR="005332A4">
        <w:rPr>
          <w:rFonts w:ascii="Arial" w:hAnsi="Arial" w:cs="Arial"/>
          <w:sz w:val="24"/>
          <w:szCs w:val="24"/>
        </w:rPr>
        <w:t xml:space="preserve"> stoccata </w:t>
      </w:r>
      <w:r w:rsidR="00A706AE">
        <w:rPr>
          <w:rFonts w:ascii="Arial" w:hAnsi="Arial" w:cs="Arial"/>
          <w:sz w:val="24"/>
          <w:szCs w:val="24"/>
        </w:rPr>
        <w:t>all’interno della normativa europea sul Clima e sul settore LULUCF</w:t>
      </w:r>
      <w:r w:rsidR="003D6DBC">
        <w:rPr>
          <w:rFonts w:ascii="Arial" w:hAnsi="Arial" w:cs="Arial"/>
          <w:sz w:val="24"/>
          <w:szCs w:val="24"/>
        </w:rPr>
        <w:t xml:space="preserve">, che è molto complessa e articolata. </w:t>
      </w:r>
      <w:r w:rsidR="00BC4AB9">
        <w:rPr>
          <w:rFonts w:ascii="Arial" w:hAnsi="Arial" w:cs="Arial"/>
          <w:sz w:val="24"/>
          <w:szCs w:val="24"/>
        </w:rPr>
        <w:t xml:space="preserve">All’interno di questo quadro è possibile </w:t>
      </w:r>
      <w:r w:rsidR="00CD3F4E">
        <w:rPr>
          <w:rFonts w:ascii="Arial" w:hAnsi="Arial" w:cs="Arial"/>
          <w:sz w:val="24"/>
          <w:szCs w:val="24"/>
        </w:rPr>
        <w:t xml:space="preserve">identificare regole di supporto, vincoli </w:t>
      </w:r>
      <w:r w:rsidR="001921BD">
        <w:rPr>
          <w:rFonts w:ascii="Arial" w:hAnsi="Arial" w:cs="Arial"/>
          <w:sz w:val="24"/>
          <w:szCs w:val="24"/>
        </w:rPr>
        <w:t>e procedure che rappresentano un impianto essenziale per l</w:t>
      </w:r>
      <w:r w:rsidR="006B3409">
        <w:rPr>
          <w:rFonts w:ascii="Arial" w:hAnsi="Arial" w:cs="Arial"/>
          <w:sz w:val="24"/>
          <w:szCs w:val="24"/>
        </w:rPr>
        <w:t>a generazione di una tipologia di crediti</w:t>
      </w:r>
      <w:r w:rsidR="007D3D7E">
        <w:rPr>
          <w:rFonts w:ascii="Arial" w:hAnsi="Arial" w:cs="Arial"/>
          <w:sz w:val="24"/>
          <w:szCs w:val="24"/>
        </w:rPr>
        <w:t xml:space="preserve"> assimilabili </w:t>
      </w:r>
      <w:r w:rsidR="00680EBC">
        <w:rPr>
          <w:rFonts w:ascii="Arial" w:hAnsi="Arial" w:cs="Arial"/>
          <w:sz w:val="24"/>
          <w:szCs w:val="24"/>
        </w:rPr>
        <w:t xml:space="preserve">in qualche misura </w:t>
      </w:r>
      <w:r w:rsidR="007D3D7E">
        <w:rPr>
          <w:rFonts w:ascii="Arial" w:hAnsi="Arial" w:cs="Arial"/>
          <w:sz w:val="24"/>
          <w:szCs w:val="24"/>
        </w:rPr>
        <w:t xml:space="preserve">a quelli di carbonio. </w:t>
      </w:r>
    </w:p>
    <w:p w14:paraId="201BF45C" w14:textId="651C13D5" w:rsidR="007D3D7E" w:rsidRDefault="00CB3BA5" w:rsidP="006332E1">
      <w:pPr>
        <w:pStyle w:val="Corpotesto"/>
        <w:ind w:right="45" w:firstLine="567"/>
        <w:jc w:val="both"/>
        <w:rPr>
          <w:rFonts w:ascii="Arial" w:hAnsi="Arial" w:cs="Arial"/>
          <w:sz w:val="24"/>
          <w:szCs w:val="24"/>
        </w:rPr>
      </w:pPr>
      <w:r>
        <w:rPr>
          <w:rFonts w:ascii="Arial" w:hAnsi="Arial" w:cs="Arial"/>
          <w:sz w:val="24"/>
          <w:szCs w:val="24"/>
        </w:rPr>
        <w:t xml:space="preserve">Inoltre, la definizione del contesto normativo permette anche di poter </w:t>
      </w:r>
      <w:r w:rsidR="00667D06">
        <w:rPr>
          <w:rFonts w:ascii="Arial" w:hAnsi="Arial" w:cs="Arial"/>
          <w:sz w:val="24"/>
          <w:szCs w:val="24"/>
        </w:rPr>
        <w:t xml:space="preserve">valutare meglio le politiche che gli enti pubblici possono attuare sia per l’implementazione delle </w:t>
      </w:r>
      <w:r w:rsidR="008A7193">
        <w:rPr>
          <w:rFonts w:ascii="Arial" w:hAnsi="Arial" w:cs="Arial"/>
          <w:sz w:val="24"/>
          <w:szCs w:val="24"/>
        </w:rPr>
        <w:t xml:space="preserve">tecniche di gestione forestale sostenibile sia per lo sviluppo dei crediti di sostenibilità, </w:t>
      </w:r>
      <w:r w:rsidR="00A527BC">
        <w:rPr>
          <w:rFonts w:ascii="Arial" w:hAnsi="Arial" w:cs="Arial"/>
          <w:sz w:val="24"/>
          <w:szCs w:val="24"/>
        </w:rPr>
        <w:t xml:space="preserve">soprattutto da parte delle Regioni, perché </w:t>
      </w:r>
      <w:r w:rsidR="00E242DA">
        <w:rPr>
          <w:rFonts w:ascii="Arial" w:hAnsi="Arial" w:cs="Arial"/>
          <w:sz w:val="24"/>
          <w:szCs w:val="24"/>
        </w:rPr>
        <w:t xml:space="preserve">secondo il dettato costituzionale, la competenza sulle attività forestali è demandata a loro. </w:t>
      </w:r>
    </w:p>
    <w:p w14:paraId="45FC434E" w14:textId="018AD9DE" w:rsidR="00516855" w:rsidRDefault="00D569F5" w:rsidP="006332E1">
      <w:pPr>
        <w:pStyle w:val="Corpotesto"/>
        <w:ind w:right="45" w:firstLine="567"/>
        <w:jc w:val="both"/>
        <w:rPr>
          <w:rFonts w:ascii="Arial" w:hAnsi="Arial" w:cs="Arial"/>
          <w:sz w:val="24"/>
          <w:szCs w:val="24"/>
        </w:rPr>
      </w:pPr>
      <w:r>
        <w:rPr>
          <w:rFonts w:ascii="Arial" w:hAnsi="Arial" w:cs="Arial"/>
          <w:sz w:val="24"/>
          <w:szCs w:val="24"/>
        </w:rPr>
        <w:t>I</w:t>
      </w:r>
      <w:r w:rsidR="006006E8">
        <w:rPr>
          <w:rFonts w:ascii="Arial" w:hAnsi="Arial" w:cs="Arial"/>
          <w:sz w:val="24"/>
          <w:szCs w:val="24"/>
        </w:rPr>
        <w:t xml:space="preserve">l riferimento stesso all’attività di regolazione dei gas GHG e all’emissione di crediti di qualche natura </w:t>
      </w:r>
      <w:r w:rsidR="004F54DE">
        <w:rPr>
          <w:rFonts w:ascii="Arial" w:hAnsi="Arial" w:cs="Arial"/>
          <w:sz w:val="24"/>
          <w:szCs w:val="24"/>
        </w:rPr>
        <w:t xml:space="preserve">implica l’analisi perlomeno </w:t>
      </w:r>
      <w:r w:rsidR="0085476A">
        <w:rPr>
          <w:rFonts w:ascii="Arial" w:hAnsi="Arial" w:cs="Arial"/>
          <w:sz w:val="24"/>
          <w:szCs w:val="24"/>
        </w:rPr>
        <w:t>quattro</w:t>
      </w:r>
      <w:r w:rsidR="004F54DE">
        <w:rPr>
          <w:rFonts w:ascii="Arial" w:hAnsi="Arial" w:cs="Arial"/>
          <w:sz w:val="24"/>
          <w:szCs w:val="24"/>
        </w:rPr>
        <w:t xml:space="preserve"> ambiti normativi:</w:t>
      </w:r>
    </w:p>
    <w:p w14:paraId="15FE0A2C" w14:textId="4DD90344" w:rsidR="004F54DE" w:rsidRDefault="004F54DE" w:rsidP="006332E1">
      <w:pPr>
        <w:pStyle w:val="Corpotesto"/>
        <w:ind w:right="45" w:firstLine="567"/>
        <w:jc w:val="both"/>
        <w:rPr>
          <w:rFonts w:ascii="Arial" w:hAnsi="Arial" w:cs="Arial"/>
          <w:sz w:val="24"/>
          <w:szCs w:val="24"/>
        </w:rPr>
      </w:pPr>
    </w:p>
    <w:p w14:paraId="0E81B846" w14:textId="77777777" w:rsidR="00627715" w:rsidRDefault="00627715" w:rsidP="000D531D">
      <w:pPr>
        <w:pStyle w:val="Corpotesto"/>
        <w:numPr>
          <w:ilvl w:val="0"/>
          <w:numId w:val="3"/>
        </w:numPr>
        <w:ind w:right="45"/>
        <w:jc w:val="both"/>
        <w:rPr>
          <w:rFonts w:ascii="Arial" w:hAnsi="Arial" w:cs="Arial"/>
          <w:sz w:val="24"/>
          <w:szCs w:val="24"/>
        </w:rPr>
      </w:pPr>
      <w:r>
        <w:rPr>
          <w:rFonts w:ascii="Arial" w:hAnsi="Arial" w:cs="Arial"/>
          <w:sz w:val="24"/>
          <w:szCs w:val="24"/>
        </w:rPr>
        <w:t>le norme che istituiscono il mercato EU ETS (</w:t>
      </w:r>
      <w:proofErr w:type="spellStart"/>
      <w:r>
        <w:rPr>
          <w:rFonts w:ascii="Arial" w:hAnsi="Arial" w:cs="Arial"/>
          <w:sz w:val="24"/>
          <w:szCs w:val="24"/>
        </w:rPr>
        <w:t>Emission</w:t>
      </w:r>
      <w:proofErr w:type="spellEnd"/>
      <w:r>
        <w:rPr>
          <w:rFonts w:ascii="Arial" w:hAnsi="Arial" w:cs="Arial"/>
          <w:sz w:val="24"/>
          <w:szCs w:val="24"/>
        </w:rPr>
        <w:t xml:space="preserve"> Trading System), attualmente </w:t>
      </w:r>
      <w:r w:rsidRPr="00F01702">
        <w:rPr>
          <w:rFonts w:ascii="Arial" w:hAnsi="Arial" w:cs="Arial"/>
          <w:sz w:val="24"/>
          <w:szCs w:val="24"/>
        </w:rPr>
        <w:t>il più grande mercato al mondo di scambi di «permessi di emissione» o «quote di CO</w:t>
      </w:r>
      <w:r w:rsidRPr="00423453">
        <w:rPr>
          <w:rFonts w:ascii="Arial" w:hAnsi="Arial" w:cs="Arial"/>
          <w:sz w:val="24"/>
          <w:szCs w:val="24"/>
          <w:vertAlign w:val="subscript"/>
        </w:rPr>
        <w:t>2</w:t>
      </w:r>
      <w:r w:rsidRPr="00F01702">
        <w:rPr>
          <w:rFonts w:ascii="Arial" w:hAnsi="Arial" w:cs="Arial"/>
          <w:sz w:val="24"/>
          <w:szCs w:val="24"/>
        </w:rPr>
        <w:t>», denominate EUA (</w:t>
      </w:r>
      <w:proofErr w:type="spellStart"/>
      <w:r w:rsidRPr="00F01702">
        <w:rPr>
          <w:rFonts w:ascii="Arial" w:hAnsi="Arial" w:cs="Arial"/>
          <w:sz w:val="24"/>
          <w:szCs w:val="24"/>
        </w:rPr>
        <w:t>European</w:t>
      </w:r>
      <w:proofErr w:type="spellEnd"/>
      <w:r w:rsidRPr="00F01702">
        <w:rPr>
          <w:rFonts w:ascii="Arial" w:hAnsi="Arial" w:cs="Arial"/>
          <w:sz w:val="24"/>
          <w:szCs w:val="24"/>
        </w:rPr>
        <w:t xml:space="preserve"> Union </w:t>
      </w:r>
      <w:proofErr w:type="spellStart"/>
      <w:r w:rsidRPr="00F01702">
        <w:rPr>
          <w:rFonts w:ascii="Arial" w:hAnsi="Arial" w:cs="Arial"/>
          <w:sz w:val="24"/>
          <w:szCs w:val="24"/>
        </w:rPr>
        <w:t>Allowances</w:t>
      </w:r>
      <w:proofErr w:type="spellEnd"/>
      <w:r w:rsidRPr="00F01702">
        <w:rPr>
          <w:rFonts w:ascii="Arial" w:hAnsi="Arial" w:cs="Arial"/>
          <w:sz w:val="24"/>
          <w:szCs w:val="24"/>
        </w:rPr>
        <w:t>)</w:t>
      </w:r>
      <w:r>
        <w:rPr>
          <w:rStyle w:val="Rimandonotaapidipagina"/>
          <w:rFonts w:ascii="Arial" w:hAnsi="Arial" w:cs="Arial"/>
          <w:sz w:val="24"/>
          <w:szCs w:val="24"/>
        </w:rPr>
        <w:footnoteReference w:id="11"/>
      </w:r>
      <w:r>
        <w:rPr>
          <w:rFonts w:ascii="Arial" w:hAnsi="Arial" w:cs="Arial"/>
          <w:sz w:val="24"/>
          <w:szCs w:val="24"/>
        </w:rPr>
        <w:t>; questo sistema è molto utile per formulare ipotesi sui prezzi dei crediti ecosistemici e anche per altre motivazioni che verranno descritte più oltre;</w:t>
      </w:r>
    </w:p>
    <w:p w14:paraId="195F13E8" w14:textId="0E277BFF" w:rsidR="004F54DE" w:rsidRPr="00C525A0" w:rsidRDefault="004F54DE" w:rsidP="000D531D">
      <w:pPr>
        <w:pStyle w:val="Paragrafoelenco"/>
        <w:numPr>
          <w:ilvl w:val="0"/>
          <w:numId w:val="3"/>
        </w:numPr>
        <w:jc w:val="both"/>
        <w:rPr>
          <w:rFonts w:ascii="Arial" w:hAnsi="Arial" w:cs="Arial"/>
          <w:sz w:val="24"/>
          <w:szCs w:val="24"/>
        </w:rPr>
      </w:pPr>
      <w:r w:rsidRPr="00C525A0">
        <w:rPr>
          <w:rFonts w:ascii="Arial" w:hAnsi="Arial" w:cs="Arial"/>
          <w:sz w:val="24"/>
          <w:szCs w:val="24"/>
        </w:rPr>
        <w:t xml:space="preserve">la strategia climatica dell’Unione Europea, che trova il suo fondamento nel Green </w:t>
      </w:r>
      <w:proofErr w:type="spellStart"/>
      <w:r w:rsidRPr="00C525A0">
        <w:rPr>
          <w:rFonts w:ascii="Arial" w:hAnsi="Arial" w:cs="Arial"/>
          <w:sz w:val="24"/>
          <w:szCs w:val="24"/>
        </w:rPr>
        <w:t>Deal</w:t>
      </w:r>
      <w:proofErr w:type="spellEnd"/>
      <w:r w:rsidRPr="00C525A0">
        <w:rPr>
          <w:rFonts w:ascii="Arial" w:hAnsi="Arial" w:cs="Arial"/>
          <w:sz w:val="24"/>
          <w:szCs w:val="24"/>
        </w:rPr>
        <w:t xml:space="preserve"> e nel Regolamento </w:t>
      </w:r>
      <w:r w:rsidR="006C4C73" w:rsidRPr="00C525A0">
        <w:rPr>
          <w:rFonts w:ascii="Arial" w:hAnsi="Arial" w:cs="Arial"/>
          <w:sz w:val="24"/>
          <w:szCs w:val="24"/>
        </w:rPr>
        <w:t xml:space="preserve">842/2018, </w:t>
      </w:r>
      <w:r w:rsidR="000C0970">
        <w:rPr>
          <w:rFonts w:ascii="Arial" w:hAnsi="Arial" w:cs="Arial"/>
          <w:sz w:val="24"/>
          <w:szCs w:val="24"/>
        </w:rPr>
        <w:t>nonché</w:t>
      </w:r>
      <w:r w:rsidR="006C4C73" w:rsidRPr="00C525A0">
        <w:rPr>
          <w:rFonts w:ascii="Arial" w:hAnsi="Arial" w:cs="Arial"/>
          <w:sz w:val="24"/>
          <w:szCs w:val="24"/>
        </w:rPr>
        <w:t xml:space="preserve"> le implicazioni che ha avuto sulle normative nazionali e locali;</w:t>
      </w:r>
      <w:r w:rsidR="00DC2715">
        <w:rPr>
          <w:rFonts w:ascii="Arial" w:hAnsi="Arial" w:cs="Arial"/>
          <w:sz w:val="24"/>
          <w:szCs w:val="24"/>
        </w:rPr>
        <w:t xml:space="preserve"> questo impianto normativo rappresenta il raccordo tra il settore LULUCF e la strategia europea sul clima</w:t>
      </w:r>
      <w:r w:rsidR="00573F0B">
        <w:rPr>
          <w:rFonts w:ascii="Arial" w:hAnsi="Arial" w:cs="Arial"/>
          <w:sz w:val="24"/>
          <w:szCs w:val="24"/>
        </w:rPr>
        <w:t xml:space="preserve"> dopo gli Accordi di Parigi del 2015;</w:t>
      </w:r>
    </w:p>
    <w:p w14:paraId="78CB17B3" w14:textId="27A6C5E8" w:rsidR="006C4C73" w:rsidRDefault="006F63C9" w:rsidP="000D531D">
      <w:pPr>
        <w:pStyle w:val="Paragrafoelenco"/>
        <w:numPr>
          <w:ilvl w:val="0"/>
          <w:numId w:val="3"/>
        </w:numPr>
        <w:jc w:val="both"/>
        <w:rPr>
          <w:rFonts w:ascii="Arial" w:hAnsi="Arial" w:cs="Arial"/>
          <w:sz w:val="24"/>
          <w:szCs w:val="24"/>
        </w:rPr>
      </w:pPr>
      <w:r w:rsidRPr="00C525A0">
        <w:rPr>
          <w:rFonts w:ascii="Arial" w:hAnsi="Arial" w:cs="Arial"/>
          <w:sz w:val="24"/>
          <w:szCs w:val="24"/>
        </w:rPr>
        <w:t>il quadro normativo delle attività LULUCF,</w:t>
      </w:r>
      <w:r w:rsidR="004B5937" w:rsidRPr="00C525A0">
        <w:rPr>
          <w:rFonts w:ascii="Arial" w:hAnsi="Arial" w:cs="Arial"/>
          <w:sz w:val="24"/>
          <w:szCs w:val="24"/>
        </w:rPr>
        <w:t xml:space="preserve"> che trova il suo punto di rifermento nel </w:t>
      </w:r>
      <w:r w:rsidR="004B5937" w:rsidRPr="00C525A0">
        <w:rPr>
          <w:rFonts w:ascii="Arial" w:hAnsi="Arial" w:cs="Arial"/>
          <w:sz w:val="24"/>
          <w:szCs w:val="24"/>
        </w:rPr>
        <w:lastRenderedPageBreak/>
        <w:t>Regolamento 841/2018</w:t>
      </w:r>
      <w:r w:rsidR="0011521A">
        <w:rPr>
          <w:rFonts w:ascii="Arial" w:hAnsi="Arial" w:cs="Arial"/>
          <w:sz w:val="24"/>
          <w:szCs w:val="24"/>
        </w:rPr>
        <w:t xml:space="preserve"> e </w:t>
      </w:r>
      <w:r w:rsidR="00573F0B">
        <w:rPr>
          <w:rFonts w:ascii="Arial" w:hAnsi="Arial" w:cs="Arial"/>
          <w:sz w:val="24"/>
          <w:szCs w:val="24"/>
        </w:rPr>
        <w:t>negli atti delegati collegati, in particolare i NFAP e i FRL</w:t>
      </w:r>
      <w:r w:rsidR="00C525A0" w:rsidRPr="00C525A0">
        <w:rPr>
          <w:rFonts w:ascii="Arial" w:hAnsi="Arial" w:cs="Arial"/>
          <w:sz w:val="24"/>
          <w:szCs w:val="24"/>
        </w:rPr>
        <w:t>;</w:t>
      </w:r>
    </w:p>
    <w:p w14:paraId="44031DD0" w14:textId="439ADB0E" w:rsidR="001D3270" w:rsidRDefault="00E90362" w:rsidP="000D531D">
      <w:pPr>
        <w:pStyle w:val="Paragrafoelenco"/>
        <w:numPr>
          <w:ilvl w:val="0"/>
          <w:numId w:val="3"/>
        </w:numPr>
        <w:jc w:val="both"/>
        <w:rPr>
          <w:rFonts w:ascii="Arial" w:hAnsi="Arial" w:cs="Arial"/>
          <w:sz w:val="24"/>
          <w:szCs w:val="24"/>
        </w:rPr>
      </w:pPr>
      <w:r>
        <w:rPr>
          <w:rFonts w:ascii="Arial" w:hAnsi="Arial" w:cs="Arial"/>
          <w:sz w:val="24"/>
          <w:szCs w:val="24"/>
        </w:rPr>
        <w:t>Il sistema di monitoraggio europeo delle emissioni di gas GHG</w:t>
      </w:r>
      <w:r w:rsidR="003556AE">
        <w:rPr>
          <w:rFonts w:ascii="Arial" w:hAnsi="Arial" w:cs="Arial"/>
          <w:sz w:val="24"/>
          <w:szCs w:val="24"/>
        </w:rPr>
        <w:t xml:space="preserve"> finalizzato alla definizione delle quote di emissione per ogni SM</w:t>
      </w:r>
      <w:r w:rsidR="003A1D2C">
        <w:rPr>
          <w:rFonts w:ascii="Arial" w:hAnsi="Arial" w:cs="Arial"/>
          <w:sz w:val="24"/>
          <w:szCs w:val="24"/>
        </w:rPr>
        <w:t>; t</w:t>
      </w:r>
      <w:r w:rsidR="003556AE">
        <w:rPr>
          <w:rFonts w:ascii="Arial" w:hAnsi="Arial" w:cs="Arial"/>
          <w:sz w:val="24"/>
          <w:szCs w:val="24"/>
        </w:rPr>
        <w:t xml:space="preserve">ale sistema </w:t>
      </w:r>
      <w:r w:rsidR="002C465B">
        <w:rPr>
          <w:rFonts w:ascii="Arial" w:hAnsi="Arial" w:cs="Arial"/>
          <w:sz w:val="24"/>
          <w:szCs w:val="24"/>
        </w:rPr>
        <w:t xml:space="preserve">aveva il suo fondamento nel Regolamento </w:t>
      </w:r>
      <w:r w:rsidR="00846DA7">
        <w:rPr>
          <w:rFonts w:ascii="Arial" w:hAnsi="Arial" w:cs="Arial"/>
          <w:sz w:val="24"/>
          <w:szCs w:val="24"/>
        </w:rPr>
        <w:t xml:space="preserve">UE 525/2013, poi sostituito dal Regolamento UE </w:t>
      </w:r>
      <w:r w:rsidR="003A1D2C">
        <w:rPr>
          <w:rFonts w:ascii="Arial" w:hAnsi="Arial" w:cs="Arial"/>
          <w:sz w:val="24"/>
          <w:szCs w:val="24"/>
        </w:rPr>
        <w:t>2018/1999.</w:t>
      </w:r>
    </w:p>
    <w:p w14:paraId="5D006132" w14:textId="77777777" w:rsidR="00C525A0" w:rsidRDefault="00C525A0" w:rsidP="006332E1">
      <w:pPr>
        <w:pStyle w:val="Corpotesto"/>
        <w:ind w:right="45" w:firstLine="567"/>
        <w:jc w:val="both"/>
        <w:rPr>
          <w:rFonts w:ascii="Arial" w:hAnsi="Arial" w:cs="Arial"/>
          <w:sz w:val="24"/>
          <w:szCs w:val="24"/>
        </w:rPr>
      </w:pPr>
    </w:p>
    <w:p w14:paraId="5BF83F8D" w14:textId="112C5574" w:rsidR="00F835EE" w:rsidRDefault="00541EE6" w:rsidP="006332E1">
      <w:pPr>
        <w:pStyle w:val="Corpotesto"/>
        <w:ind w:right="45" w:firstLine="567"/>
        <w:jc w:val="both"/>
        <w:rPr>
          <w:rFonts w:ascii="Arial" w:hAnsi="Arial" w:cs="Arial"/>
          <w:sz w:val="24"/>
          <w:szCs w:val="24"/>
        </w:rPr>
      </w:pPr>
      <w:r>
        <w:rPr>
          <w:rFonts w:ascii="Arial" w:hAnsi="Arial" w:cs="Arial"/>
          <w:sz w:val="24"/>
          <w:szCs w:val="24"/>
        </w:rPr>
        <w:t>Quest</w:t>
      </w:r>
      <w:r w:rsidR="00276053">
        <w:rPr>
          <w:rFonts w:ascii="Arial" w:hAnsi="Arial" w:cs="Arial"/>
          <w:sz w:val="24"/>
          <w:szCs w:val="24"/>
        </w:rPr>
        <w:t xml:space="preserve">i </w:t>
      </w:r>
      <w:r w:rsidR="003A1D2C">
        <w:rPr>
          <w:rFonts w:ascii="Arial" w:hAnsi="Arial" w:cs="Arial"/>
          <w:sz w:val="24"/>
          <w:szCs w:val="24"/>
        </w:rPr>
        <w:t>quattro</w:t>
      </w:r>
      <w:r w:rsidR="00276053">
        <w:rPr>
          <w:rFonts w:ascii="Arial" w:hAnsi="Arial" w:cs="Arial"/>
          <w:sz w:val="24"/>
          <w:szCs w:val="24"/>
        </w:rPr>
        <w:t xml:space="preserve"> gruppi di norme </w:t>
      </w:r>
      <w:r w:rsidR="006C00C3">
        <w:rPr>
          <w:rFonts w:ascii="Arial" w:hAnsi="Arial" w:cs="Arial"/>
          <w:sz w:val="24"/>
          <w:szCs w:val="24"/>
        </w:rPr>
        <w:t xml:space="preserve">europee </w:t>
      </w:r>
      <w:r w:rsidR="00276053">
        <w:rPr>
          <w:rFonts w:ascii="Arial" w:hAnsi="Arial" w:cs="Arial"/>
          <w:sz w:val="24"/>
          <w:szCs w:val="24"/>
        </w:rPr>
        <w:t xml:space="preserve">consentono di collocare le attività forestali </w:t>
      </w:r>
      <w:r w:rsidR="00B6214F">
        <w:rPr>
          <w:rFonts w:ascii="Arial" w:hAnsi="Arial" w:cs="Arial"/>
          <w:sz w:val="24"/>
          <w:szCs w:val="24"/>
        </w:rPr>
        <w:t xml:space="preserve">nel quadro più ampio delle strategie sul clima valutando </w:t>
      </w:r>
      <w:r w:rsidR="000C0970">
        <w:rPr>
          <w:rFonts w:ascii="Arial" w:hAnsi="Arial" w:cs="Arial"/>
          <w:sz w:val="24"/>
          <w:szCs w:val="24"/>
        </w:rPr>
        <w:t>allo stesso tempo</w:t>
      </w:r>
      <w:r w:rsidR="00B6214F">
        <w:rPr>
          <w:rFonts w:ascii="Arial" w:hAnsi="Arial" w:cs="Arial"/>
          <w:sz w:val="24"/>
          <w:szCs w:val="24"/>
        </w:rPr>
        <w:t xml:space="preserve"> i vincoli e le opportunità c</w:t>
      </w:r>
      <w:r w:rsidR="003D6016">
        <w:rPr>
          <w:rFonts w:ascii="Arial" w:hAnsi="Arial" w:cs="Arial"/>
          <w:sz w:val="24"/>
          <w:szCs w:val="24"/>
        </w:rPr>
        <w:t>h</w:t>
      </w:r>
      <w:r w:rsidR="00B6214F">
        <w:rPr>
          <w:rFonts w:ascii="Arial" w:hAnsi="Arial" w:cs="Arial"/>
          <w:sz w:val="24"/>
          <w:szCs w:val="24"/>
        </w:rPr>
        <w:t xml:space="preserve">e ne derivano, spesso completamente sconosciuti </w:t>
      </w:r>
      <w:r w:rsidR="003D6016">
        <w:rPr>
          <w:rFonts w:ascii="Arial" w:hAnsi="Arial" w:cs="Arial"/>
          <w:sz w:val="24"/>
          <w:szCs w:val="24"/>
        </w:rPr>
        <w:t xml:space="preserve">agli operatori forestali e agli operatori pubblici del settore. </w:t>
      </w:r>
      <w:r w:rsidR="00283F6B">
        <w:rPr>
          <w:rFonts w:ascii="Arial" w:hAnsi="Arial" w:cs="Arial"/>
          <w:sz w:val="24"/>
          <w:szCs w:val="24"/>
        </w:rPr>
        <w:t xml:space="preserve">Nella discussione verranno considerate non solo le norme europee ma anche il loro corrispettivo nazionale e, quanto presente, anche </w:t>
      </w:r>
      <w:r w:rsidR="00184B01">
        <w:rPr>
          <w:rFonts w:ascii="Arial" w:hAnsi="Arial" w:cs="Arial"/>
          <w:sz w:val="24"/>
          <w:szCs w:val="24"/>
        </w:rPr>
        <w:t xml:space="preserve">il recepimento nella normativa regionale. </w:t>
      </w:r>
    </w:p>
    <w:p w14:paraId="094DBB46" w14:textId="2DDEEB5E" w:rsidR="00AB09DA" w:rsidRDefault="00140193" w:rsidP="006332E1">
      <w:pPr>
        <w:pStyle w:val="Corpotesto"/>
        <w:ind w:right="45" w:firstLine="567"/>
        <w:jc w:val="both"/>
        <w:rPr>
          <w:rFonts w:ascii="Arial" w:hAnsi="Arial" w:cs="Arial"/>
          <w:sz w:val="24"/>
          <w:szCs w:val="24"/>
        </w:rPr>
      </w:pPr>
      <w:r>
        <w:rPr>
          <w:rFonts w:ascii="Arial" w:hAnsi="Arial" w:cs="Arial"/>
          <w:sz w:val="24"/>
          <w:szCs w:val="24"/>
        </w:rPr>
        <w:t>A</w:t>
      </w:r>
      <w:r w:rsidR="00D32FB8">
        <w:rPr>
          <w:rFonts w:ascii="Arial" w:hAnsi="Arial" w:cs="Arial"/>
          <w:sz w:val="24"/>
          <w:szCs w:val="24"/>
        </w:rPr>
        <w:t xml:space="preserve"> questi ambiti vanno aggiunti perlomeno altri </w:t>
      </w:r>
      <w:r>
        <w:rPr>
          <w:rFonts w:ascii="Arial" w:hAnsi="Arial" w:cs="Arial"/>
          <w:sz w:val="24"/>
          <w:szCs w:val="24"/>
        </w:rPr>
        <w:t>tr</w:t>
      </w:r>
      <w:r w:rsidR="00D32FB8">
        <w:rPr>
          <w:rFonts w:ascii="Arial" w:hAnsi="Arial" w:cs="Arial"/>
          <w:sz w:val="24"/>
          <w:szCs w:val="24"/>
        </w:rPr>
        <w:t>e elementi normativi</w:t>
      </w:r>
      <w:r w:rsidR="00A56CFD">
        <w:rPr>
          <w:rFonts w:ascii="Arial" w:hAnsi="Arial" w:cs="Arial"/>
          <w:sz w:val="24"/>
          <w:szCs w:val="24"/>
        </w:rPr>
        <w:t>, ovvero:</w:t>
      </w:r>
    </w:p>
    <w:p w14:paraId="1471C215" w14:textId="6B2F5473" w:rsidR="00A56CFD" w:rsidRDefault="00A56CFD" w:rsidP="006332E1">
      <w:pPr>
        <w:pStyle w:val="Corpotesto"/>
        <w:ind w:right="45" w:firstLine="567"/>
        <w:jc w:val="both"/>
        <w:rPr>
          <w:rFonts w:ascii="Arial" w:hAnsi="Arial" w:cs="Arial"/>
          <w:sz w:val="24"/>
          <w:szCs w:val="24"/>
        </w:rPr>
      </w:pPr>
    </w:p>
    <w:p w14:paraId="18857442" w14:textId="19FF3107" w:rsidR="00FD4FA1" w:rsidRDefault="00B215A6" w:rsidP="000D531D">
      <w:pPr>
        <w:pStyle w:val="Corpotesto"/>
        <w:numPr>
          <w:ilvl w:val="0"/>
          <w:numId w:val="3"/>
        </w:numPr>
        <w:ind w:right="45"/>
        <w:jc w:val="both"/>
        <w:rPr>
          <w:rFonts w:ascii="Arial" w:hAnsi="Arial" w:cs="Arial"/>
          <w:sz w:val="24"/>
          <w:szCs w:val="24"/>
        </w:rPr>
      </w:pPr>
      <w:r>
        <w:rPr>
          <w:rFonts w:ascii="Arial" w:hAnsi="Arial" w:cs="Arial"/>
          <w:sz w:val="24"/>
          <w:szCs w:val="24"/>
        </w:rPr>
        <w:t xml:space="preserve">la normativa sui servizi ecosistemici, con particolare riferimento a quella sulla biodiversità </w:t>
      </w:r>
      <w:r w:rsidR="00AB60C4">
        <w:rPr>
          <w:rFonts w:ascii="Arial" w:hAnsi="Arial" w:cs="Arial"/>
          <w:sz w:val="24"/>
          <w:szCs w:val="24"/>
        </w:rPr>
        <w:t>(in particolare la direttiva Habitat)</w:t>
      </w:r>
      <w:r w:rsidR="00140193">
        <w:rPr>
          <w:rFonts w:ascii="Arial" w:hAnsi="Arial" w:cs="Arial"/>
          <w:sz w:val="24"/>
          <w:szCs w:val="24"/>
        </w:rPr>
        <w:t xml:space="preserve">, in quanto </w:t>
      </w:r>
      <w:r w:rsidR="0029727F">
        <w:rPr>
          <w:rFonts w:ascii="Arial" w:hAnsi="Arial" w:cs="Arial"/>
          <w:sz w:val="24"/>
          <w:szCs w:val="24"/>
        </w:rPr>
        <w:t>può agire come vincolo nelle attività di intervento forestale;</w:t>
      </w:r>
    </w:p>
    <w:p w14:paraId="2C0DC762" w14:textId="4B3CDF9D" w:rsidR="001D3270" w:rsidRPr="00D746D2" w:rsidRDefault="001D3270" w:rsidP="001D3270">
      <w:pPr>
        <w:pStyle w:val="Paragrafoelenco"/>
        <w:numPr>
          <w:ilvl w:val="0"/>
          <w:numId w:val="3"/>
        </w:numPr>
        <w:jc w:val="both"/>
        <w:rPr>
          <w:rFonts w:ascii="Arial" w:hAnsi="Arial" w:cs="Arial"/>
          <w:sz w:val="24"/>
          <w:szCs w:val="24"/>
        </w:rPr>
      </w:pPr>
      <w:r>
        <w:rPr>
          <w:rFonts w:ascii="Arial" w:hAnsi="Arial" w:cs="Arial"/>
          <w:sz w:val="24"/>
          <w:szCs w:val="24"/>
        </w:rPr>
        <w:t>la strategia forestale dell’Unione Europea, le leggi nazionali sui sistemi forestali e i servizi ecosistemici, inclusi</w:t>
      </w:r>
      <w:r w:rsidRPr="00D746D2">
        <w:rPr>
          <w:rFonts w:ascii="Arial" w:hAnsi="Arial" w:cs="Arial"/>
          <w:sz w:val="24"/>
          <w:szCs w:val="24"/>
        </w:rPr>
        <w:t xml:space="preserve"> gli sviluppi a livello regionale</w:t>
      </w:r>
      <w:r w:rsidR="0029727F">
        <w:rPr>
          <w:rFonts w:ascii="Arial" w:hAnsi="Arial" w:cs="Arial"/>
          <w:sz w:val="24"/>
          <w:szCs w:val="24"/>
        </w:rPr>
        <w:t>, tenendo presente che la strategia forestale della UE è ancora in fase di sviluppo</w:t>
      </w:r>
      <w:r w:rsidR="00833849">
        <w:rPr>
          <w:rStyle w:val="Rimandonotaapidipagina"/>
          <w:rFonts w:ascii="Arial" w:hAnsi="Arial" w:cs="Arial"/>
          <w:sz w:val="24"/>
          <w:szCs w:val="24"/>
        </w:rPr>
        <w:footnoteReference w:id="12"/>
      </w:r>
      <w:r w:rsidRPr="00D746D2">
        <w:rPr>
          <w:rFonts w:ascii="Arial" w:hAnsi="Arial" w:cs="Arial"/>
          <w:sz w:val="24"/>
          <w:szCs w:val="24"/>
        </w:rPr>
        <w:t xml:space="preserve">. </w:t>
      </w:r>
    </w:p>
    <w:p w14:paraId="2964565E" w14:textId="5048EBA8" w:rsidR="00BF1CE4" w:rsidRDefault="00DB19A1" w:rsidP="000D531D">
      <w:pPr>
        <w:pStyle w:val="Corpotesto"/>
        <w:numPr>
          <w:ilvl w:val="0"/>
          <w:numId w:val="3"/>
        </w:numPr>
        <w:ind w:right="45"/>
        <w:jc w:val="both"/>
        <w:rPr>
          <w:rFonts w:ascii="Arial" w:hAnsi="Arial" w:cs="Arial"/>
          <w:sz w:val="24"/>
          <w:szCs w:val="24"/>
        </w:rPr>
      </w:pPr>
      <w:r>
        <w:rPr>
          <w:rFonts w:ascii="Arial" w:hAnsi="Arial" w:cs="Arial"/>
          <w:sz w:val="24"/>
          <w:szCs w:val="24"/>
        </w:rPr>
        <w:t>le norme europee sulla finanza sostenibile</w:t>
      </w:r>
      <w:r w:rsidR="00B85E74">
        <w:rPr>
          <w:rFonts w:ascii="Arial" w:hAnsi="Arial" w:cs="Arial"/>
          <w:sz w:val="24"/>
          <w:szCs w:val="24"/>
        </w:rPr>
        <w:t xml:space="preserve">, poiché i crediti </w:t>
      </w:r>
      <w:r w:rsidR="006E3DEA">
        <w:rPr>
          <w:rFonts w:ascii="Arial" w:hAnsi="Arial" w:cs="Arial"/>
          <w:sz w:val="24"/>
          <w:szCs w:val="24"/>
        </w:rPr>
        <w:t xml:space="preserve">ecosistemici possono essere collocati </w:t>
      </w:r>
      <w:r w:rsidR="00EF4160">
        <w:rPr>
          <w:rFonts w:ascii="Arial" w:hAnsi="Arial" w:cs="Arial"/>
          <w:sz w:val="24"/>
          <w:szCs w:val="24"/>
        </w:rPr>
        <w:t>– sotto opportune condizioni – nel</w:t>
      </w:r>
      <w:r w:rsidR="00DC5B93">
        <w:rPr>
          <w:rFonts w:ascii="Arial" w:hAnsi="Arial" w:cs="Arial"/>
          <w:sz w:val="24"/>
          <w:szCs w:val="24"/>
        </w:rPr>
        <w:t xml:space="preserve"> quadro delle emissioni di </w:t>
      </w:r>
      <w:r w:rsidR="00BF1CE4">
        <w:rPr>
          <w:rFonts w:ascii="Arial" w:hAnsi="Arial" w:cs="Arial"/>
          <w:sz w:val="24"/>
          <w:szCs w:val="24"/>
        </w:rPr>
        <w:t xml:space="preserve">titoli ESG. </w:t>
      </w:r>
    </w:p>
    <w:p w14:paraId="2F28A6B0" w14:textId="77777777" w:rsidR="00BF1CE4" w:rsidRDefault="00BF1CE4" w:rsidP="00D95630">
      <w:pPr>
        <w:pStyle w:val="Corpotesto"/>
        <w:ind w:right="45" w:firstLine="567"/>
        <w:jc w:val="both"/>
        <w:rPr>
          <w:rFonts w:ascii="Arial" w:hAnsi="Arial" w:cs="Arial"/>
          <w:sz w:val="24"/>
          <w:szCs w:val="24"/>
        </w:rPr>
      </w:pPr>
    </w:p>
    <w:p w14:paraId="16157505" w14:textId="77777777" w:rsidR="0036318D" w:rsidRDefault="00BF1CE4" w:rsidP="00D95630">
      <w:pPr>
        <w:pStyle w:val="Corpotesto"/>
        <w:ind w:right="45" w:firstLine="567"/>
        <w:jc w:val="both"/>
        <w:rPr>
          <w:rFonts w:ascii="Arial" w:hAnsi="Arial" w:cs="Arial"/>
          <w:sz w:val="24"/>
          <w:szCs w:val="24"/>
        </w:rPr>
      </w:pPr>
      <w:r>
        <w:rPr>
          <w:rFonts w:ascii="Arial" w:hAnsi="Arial" w:cs="Arial"/>
          <w:sz w:val="24"/>
          <w:szCs w:val="24"/>
        </w:rPr>
        <w:t>Infine</w:t>
      </w:r>
      <w:r w:rsidR="00D9080F">
        <w:rPr>
          <w:rFonts w:ascii="Arial" w:hAnsi="Arial" w:cs="Arial"/>
          <w:sz w:val="24"/>
          <w:szCs w:val="24"/>
        </w:rPr>
        <w:t xml:space="preserve">, poiché i crediti ecosistemici </w:t>
      </w:r>
      <w:r w:rsidR="00C479B0">
        <w:rPr>
          <w:rFonts w:ascii="Arial" w:hAnsi="Arial" w:cs="Arial"/>
          <w:sz w:val="24"/>
          <w:szCs w:val="24"/>
        </w:rPr>
        <w:t>possono essere idealmente contemplati nel quadro concettuale definito dal protocollo di Kyoto</w:t>
      </w:r>
      <w:r w:rsidR="002D12A7">
        <w:rPr>
          <w:rFonts w:ascii="Arial" w:hAnsi="Arial" w:cs="Arial"/>
          <w:sz w:val="24"/>
          <w:szCs w:val="24"/>
        </w:rPr>
        <w:t xml:space="preserve"> e </w:t>
      </w:r>
      <w:r w:rsidR="00054D7B">
        <w:rPr>
          <w:rFonts w:ascii="Arial" w:hAnsi="Arial" w:cs="Arial"/>
          <w:sz w:val="24"/>
          <w:szCs w:val="24"/>
        </w:rPr>
        <w:t xml:space="preserve">dei crediti connessi ai “meccanismi flessibili”, si ritiene opportuno anche valutare </w:t>
      </w:r>
      <w:r w:rsidR="0036318D">
        <w:rPr>
          <w:rFonts w:ascii="Arial" w:hAnsi="Arial" w:cs="Arial"/>
          <w:sz w:val="24"/>
          <w:szCs w:val="24"/>
        </w:rPr>
        <w:t>brevemente questi tre set normativi:</w:t>
      </w:r>
    </w:p>
    <w:p w14:paraId="6677BC3A" w14:textId="77777777" w:rsidR="0036318D" w:rsidRDefault="0036318D" w:rsidP="00D95630">
      <w:pPr>
        <w:pStyle w:val="Corpotesto"/>
        <w:ind w:right="45" w:firstLine="567"/>
        <w:jc w:val="both"/>
        <w:rPr>
          <w:rFonts w:ascii="Arial" w:hAnsi="Arial" w:cs="Arial"/>
          <w:sz w:val="24"/>
          <w:szCs w:val="24"/>
        </w:rPr>
      </w:pPr>
    </w:p>
    <w:p w14:paraId="46750A77" w14:textId="2AF0E053" w:rsidR="0036318D" w:rsidRDefault="0036318D" w:rsidP="000D531D">
      <w:pPr>
        <w:pStyle w:val="Corpotesto"/>
        <w:numPr>
          <w:ilvl w:val="0"/>
          <w:numId w:val="5"/>
        </w:numPr>
        <w:ind w:right="45"/>
        <w:jc w:val="both"/>
        <w:rPr>
          <w:rFonts w:ascii="Arial" w:hAnsi="Arial" w:cs="Arial"/>
          <w:sz w:val="24"/>
          <w:szCs w:val="24"/>
        </w:rPr>
      </w:pPr>
      <w:r>
        <w:rPr>
          <w:rFonts w:ascii="Arial" w:hAnsi="Arial" w:cs="Arial"/>
          <w:sz w:val="24"/>
          <w:szCs w:val="24"/>
        </w:rPr>
        <w:t xml:space="preserve">il protocollo di Kyoto e il </w:t>
      </w:r>
      <w:r w:rsidR="001A30D0">
        <w:rPr>
          <w:rFonts w:ascii="Arial" w:hAnsi="Arial" w:cs="Arial"/>
          <w:sz w:val="24"/>
          <w:szCs w:val="24"/>
        </w:rPr>
        <w:t>sistema CDM;</w:t>
      </w:r>
    </w:p>
    <w:p w14:paraId="75DAA33F" w14:textId="34D071DE" w:rsidR="001A30D0" w:rsidRDefault="001A30D0" w:rsidP="000D531D">
      <w:pPr>
        <w:pStyle w:val="Corpotesto"/>
        <w:numPr>
          <w:ilvl w:val="0"/>
          <w:numId w:val="5"/>
        </w:numPr>
        <w:ind w:right="45"/>
        <w:jc w:val="both"/>
        <w:rPr>
          <w:rFonts w:ascii="Arial" w:hAnsi="Arial" w:cs="Arial"/>
          <w:sz w:val="24"/>
          <w:szCs w:val="24"/>
        </w:rPr>
      </w:pPr>
      <w:r>
        <w:rPr>
          <w:rFonts w:ascii="Arial" w:hAnsi="Arial" w:cs="Arial"/>
          <w:sz w:val="24"/>
          <w:szCs w:val="24"/>
        </w:rPr>
        <w:t>l’emendamento di Doha, che ha co</w:t>
      </w:r>
      <w:r w:rsidR="004D1B7E">
        <w:rPr>
          <w:rFonts w:ascii="Arial" w:hAnsi="Arial" w:cs="Arial"/>
          <w:sz w:val="24"/>
          <w:szCs w:val="24"/>
        </w:rPr>
        <w:t xml:space="preserve">nsentito </w:t>
      </w:r>
      <w:r w:rsidR="00C83162">
        <w:rPr>
          <w:rFonts w:ascii="Arial" w:hAnsi="Arial" w:cs="Arial"/>
          <w:sz w:val="24"/>
          <w:szCs w:val="24"/>
        </w:rPr>
        <w:t xml:space="preserve">al Protocollo di Kyoto di proseguire la sua azione per il periodo </w:t>
      </w:r>
      <w:r w:rsidR="00342EDC">
        <w:rPr>
          <w:rFonts w:ascii="Arial" w:hAnsi="Arial" w:cs="Arial"/>
          <w:sz w:val="24"/>
          <w:szCs w:val="24"/>
        </w:rPr>
        <w:t>2013-2020;</w:t>
      </w:r>
    </w:p>
    <w:p w14:paraId="3BAD2F29" w14:textId="3F3498DB" w:rsidR="00342EDC" w:rsidRDefault="00342EDC" w:rsidP="000D531D">
      <w:pPr>
        <w:pStyle w:val="Corpotesto"/>
        <w:numPr>
          <w:ilvl w:val="0"/>
          <w:numId w:val="5"/>
        </w:numPr>
        <w:ind w:right="45"/>
        <w:jc w:val="both"/>
        <w:rPr>
          <w:rFonts w:ascii="Arial" w:hAnsi="Arial" w:cs="Arial"/>
          <w:sz w:val="24"/>
          <w:szCs w:val="24"/>
        </w:rPr>
      </w:pPr>
      <w:r>
        <w:rPr>
          <w:rFonts w:ascii="Arial" w:hAnsi="Arial" w:cs="Arial"/>
          <w:sz w:val="24"/>
          <w:szCs w:val="24"/>
        </w:rPr>
        <w:t xml:space="preserve">gli accordi di Parigi del 2015. </w:t>
      </w:r>
    </w:p>
    <w:p w14:paraId="34DA612D" w14:textId="77777777" w:rsidR="0036318D" w:rsidRDefault="0036318D" w:rsidP="00D95630">
      <w:pPr>
        <w:pStyle w:val="Corpotesto"/>
        <w:ind w:right="45" w:firstLine="567"/>
        <w:jc w:val="both"/>
        <w:rPr>
          <w:rFonts w:ascii="Arial" w:hAnsi="Arial" w:cs="Arial"/>
          <w:sz w:val="24"/>
          <w:szCs w:val="24"/>
        </w:rPr>
      </w:pPr>
    </w:p>
    <w:p w14:paraId="12EDFE05" w14:textId="6FCBF0A6" w:rsidR="000F4508" w:rsidRDefault="000F4508" w:rsidP="00D95630">
      <w:pPr>
        <w:pStyle w:val="Corpotesto"/>
        <w:ind w:right="45" w:firstLine="567"/>
        <w:jc w:val="both"/>
        <w:rPr>
          <w:rFonts w:ascii="Arial" w:hAnsi="Arial" w:cs="Arial"/>
          <w:sz w:val="24"/>
          <w:szCs w:val="24"/>
        </w:rPr>
      </w:pPr>
      <w:r>
        <w:rPr>
          <w:rFonts w:ascii="Arial" w:hAnsi="Arial" w:cs="Arial"/>
          <w:sz w:val="24"/>
          <w:szCs w:val="24"/>
        </w:rPr>
        <w:t>Questi ultimi tre elementi verranno esaminati brevemente alla fine d</w:t>
      </w:r>
      <w:r w:rsidR="004D34D8">
        <w:rPr>
          <w:rFonts w:ascii="Arial" w:hAnsi="Arial" w:cs="Arial"/>
          <w:sz w:val="24"/>
          <w:szCs w:val="24"/>
        </w:rPr>
        <w:t xml:space="preserve">i questo deliverable con riferimento solo alle attività che riguardano il settore LULUCF e che sono attinenti al Progetto CO2PES&amp;PEF. </w:t>
      </w:r>
    </w:p>
    <w:p w14:paraId="23F77870" w14:textId="07138550" w:rsidR="003329F1" w:rsidRDefault="00067BD2" w:rsidP="00D95630">
      <w:pPr>
        <w:pStyle w:val="Corpotesto"/>
        <w:ind w:right="45" w:firstLine="567"/>
        <w:jc w:val="both"/>
        <w:rPr>
          <w:rFonts w:ascii="Arial" w:hAnsi="Arial" w:cs="Arial"/>
          <w:sz w:val="24"/>
          <w:szCs w:val="24"/>
        </w:rPr>
      </w:pPr>
      <w:r>
        <w:rPr>
          <w:rFonts w:ascii="Arial" w:hAnsi="Arial" w:cs="Arial"/>
          <w:sz w:val="24"/>
          <w:szCs w:val="24"/>
        </w:rPr>
        <w:t>Nei prossimi capitoli verranno descritti tutti gli ambiti normativi citati</w:t>
      </w:r>
      <w:r w:rsidR="00127C63">
        <w:rPr>
          <w:rFonts w:ascii="Arial" w:hAnsi="Arial" w:cs="Arial"/>
          <w:sz w:val="24"/>
          <w:szCs w:val="24"/>
        </w:rPr>
        <w:t xml:space="preserve">, mettendone in evidenza gli elementi che hanno un ruolo nel normare gli </w:t>
      </w:r>
      <w:r w:rsidR="005B723B">
        <w:rPr>
          <w:rFonts w:ascii="Arial" w:hAnsi="Arial" w:cs="Arial"/>
          <w:sz w:val="24"/>
          <w:szCs w:val="24"/>
        </w:rPr>
        <w:t xml:space="preserve">aspetti tecnici del supporto ai servizi ecosistemici o </w:t>
      </w:r>
      <w:r w:rsidR="00F61B40">
        <w:rPr>
          <w:rFonts w:ascii="Arial" w:hAnsi="Arial" w:cs="Arial"/>
          <w:sz w:val="24"/>
          <w:szCs w:val="24"/>
        </w:rPr>
        <w:t>che possono supportare l’emissione dei crediti ecosistemici</w:t>
      </w:r>
      <w:r w:rsidR="00C91D67">
        <w:rPr>
          <w:rFonts w:ascii="Arial" w:hAnsi="Arial" w:cs="Arial"/>
          <w:sz w:val="24"/>
          <w:szCs w:val="24"/>
        </w:rPr>
        <w:t xml:space="preserve">. </w:t>
      </w:r>
      <w:r w:rsidR="00CC4CE4">
        <w:rPr>
          <w:rFonts w:ascii="Arial" w:hAnsi="Arial" w:cs="Arial"/>
          <w:sz w:val="24"/>
          <w:szCs w:val="24"/>
        </w:rPr>
        <w:t>La nor</w:t>
      </w:r>
      <w:r w:rsidR="00CA12CD">
        <w:rPr>
          <w:rFonts w:ascii="Arial" w:hAnsi="Arial" w:cs="Arial"/>
          <w:sz w:val="24"/>
          <w:szCs w:val="24"/>
        </w:rPr>
        <w:t xml:space="preserve">mativa inerente </w:t>
      </w:r>
      <w:r w:rsidR="00342EDC">
        <w:rPr>
          <w:rFonts w:ascii="Arial" w:hAnsi="Arial" w:cs="Arial"/>
          <w:sz w:val="24"/>
          <w:szCs w:val="24"/>
        </w:rPr>
        <w:t>al</w:t>
      </w:r>
      <w:r w:rsidR="00CA12CD">
        <w:rPr>
          <w:rFonts w:ascii="Arial" w:hAnsi="Arial" w:cs="Arial"/>
          <w:sz w:val="24"/>
          <w:szCs w:val="24"/>
        </w:rPr>
        <w:t>la finanza sostenibile non viene considerata in questo report in quanto è oggetto di uno specifico app</w:t>
      </w:r>
      <w:r w:rsidR="00320A10">
        <w:rPr>
          <w:rFonts w:ascii="Arial" w:hAnsi="Arial" w:cs="Arial"/>
          <w:sz w:val="24"/>
          <w:szCs w:val="24"/>
        </w:rPr>
        <w:t>rofondimento che verrà fatto nell’azione C.5.</w:t>
      </w:r>
    </w:p>
    <w:p w14:paraId="24C13935" w14:textId="51EC483B" w:rsidR="00C91D67" w:rsidRDefault="00C91D67" w:rsidP="00D95630">
      <w:pPr>
        <w:pStyle w:val="Corpotesto"/>
        <w:ind w:right="45" w:firstLine="567"/>
        <w:jc w:val="both"/>
        <w:rPr>
          <w:rFonts w:ascii="Arial" w:hAnsi="Arial" w:cs="Arial"/>
          <w:sz w:val="24"/>
          <w:szCs w:val="24"/>
        </w:rPr>
      </w:pPr>
      <w:r>
        <w:rPr>
          <w:rFonts w:ascii="Arial" w:hAnsi="Arial" w:cs="Arial"/>
          <w:sz w:val="24"/>
          <w:szCs w:val="24"/>
        </w:rPr>
        <w:t>I</w:t>
      </w:r>
      <w:r w:rsidR="007D0224">
        <w:rPr>
          <w:rFonts w:ascii="Arial" w:hAnsi="Arial" w:cs="Arial"/>
          <w:sz w:val="24"/>
          <w:szCs w:val="24"/>
        </w:rPr>
        <w:t>noltre, verranno messi in evidenza gli elementi di raccordo e intersezione tra i diversi ambiti normativi</w:t>
      </w:r>
      <w:r w:rsidR="0079578B">
        <w:rPr>
          <w:rFonts w:ascii="Arial" w:hAnsi="Arial" w:cs="Arial"/>
          <w:sz w:val="24"/>
          <w:szCs w:val="24"/>
        </w:rPr>
        <w:t xml:space="preserve">, seguendo i </w:t>
      </w:r>
      <w:r w:rsidR="00943A21">
        <w:rPr>
          <w:rFonts w:ascii="Arial" w:hAnsi="Arial" w:cs="Arial"/>
          <w:sz w:val="24"/>
          <w:szCs w:val="24"/>
        </w:rPr>
        <w:t>seguenti criteri di analisi:</w:t>
      </w:r>
    </w:p>
    <w:p w14:paraId="709BD78C" w14:textId="25A90714" w:rsidR="00943A21" w:rsidRDefault="00943A21" w:rsidP="00D95630">
      <w:pPr>
        <w:pStyle w:val="Corpotesto"/>
        <w:ind w:right="45" w:firstLine="567"/>
        <w:jc w:val="both"/>
        <w:rPr>
          <w:rFonts w:ascii="Arial" w:hAnsi="Arial" w:cs="Arial"/>
          <w:sz w:val="24"/>
          <w:szCs w:val="24"/>
        </w:rPr>
      </w:pPr>
    </w:p>
    <w:p w14:paraId="60814F6C" w14:textId="6B4DD1B6" w:rsidR="00943A21" w:rsidRDefault="00943592" w:rsidP="000D531D">
      <w:pPr>
        <w:pStyle w:val="Corpotesto"/>
        <w:numPr>
          <w:ilvl w:val="0"/>
          <w:numId w:val="4"/>
        </w:numPr>
        <w:ind w:right="45"/>
        <w:jc w:val="both"/>
        <w:rPr>
          <w:rFonts w:ascii="Arial" w:hAnsi="Arial" w:cs="Arial"/>
          <w:sz w:val="24"/>
          <w:szCs w:val="24"/>
        </w:rPr>
      </w:pPr>
      <w:r>
        <w:rPr>
          <w:rFonts w:ascii="Arial" w:hAnsi="Arial" w:cs="Arial"/>
          <w:sz w:val="24"/>
          <w:szCs w:val="24"/>
        </w:rPr>
        <w:t>descrizione de</w:t>
      </w:r>
      <w:r w:rsidR="00C24168">
        <w:rPr>
          <w:rFonts w:ascii="Arial" w:hAnsi="Arial" w:cs="Arial"/>
          <w:sz w:val="24"/>
          <w:szCs w:val="24"/>
        </w:rPr>
        <w:t>gli articoli e dei concetti che rimandano direttamente o indirettamente ad un altro ambito normativo</w:t>
      </w:r>
      <w:r w:rsidR="00864B6A">
        <w:rPr>
          <w:rFonts w:ascii="Arial" w:hAnsi="Arial" w:cs="Arial"/>
          <w:sz w:val="24"/>
          <w:szCs w:val="24"/>
        </w:rPr>
        <w:t>;</w:t>
      </w:r>
    </w:p>
    <w:p w14:paraId="0650E120" w14:textId="3CF7F6B3" w:rsidR="00540BEF" w:rsidRDefault="00540BEF" w:rsidP="000D531D">
      <w:pPr>
        <w:pStyle w:val="Corpotesto"/>
        <w:numPr>
          <w:ilvl w:val="0"/>
          <w:numId w:val="4"/>
        </w:numPr>
        <w:ind w:right="45"/>
        <w:jc w:val="both"/>
        <w:rPr>
          <w:rFonts w:ascii="Arial" w:hAnsi="Arial" w:cs="Arial"/>
          <w:sz w:val="24"/>
          <w:szCs w:val="24"/>
        </w:rPr>
      </w:pPr>
      <w:r>
        <w:rPr>
          <w:rFonts w:ascii="Arial" w:hAnsi="Arial" w:cs="Arial"/>
          <w:sz w:val="24"/>
          <w:szCs w:val="24"/>
        </w:rPr>
        <w:t xml:space="preserve">identificazione di elementi innovativi </w:t>
      </w:r>
      <w:r w:rsidR="005E6156">
        <w:rPr>
          <w:rFonts w:ascii="Arial" w:hAnsi="Arial" w:cs="Arial"/>
          <w:sz w:val="24"/>
          <w:szCs w:val="24"/>
        </w:rPr>
        <w:t xml:space="preserve">di un ambito che possono essere </w:t>
      </w:r>
      <w:r w:rsidR="0012563C">
        <w:rPr>
          <w:rFonts w:ascii="Arial" w:hAnsi="Arial" w:cs="Arial"/>
          <w:sz w:val="24"/>
          <w:szCs w:val="24"/>
        </w:rPr>
        <w:t xml:space="preserve">utilizzati in un altro ambito: questo </w:t>
      </w:r>
      <w:r w:rsidR="0090640C">
        <w:rPr>
          <w:rFonts w:ascii="Arial" w:hAnsi="Arial" w:cs="Arial"/>
          <w:sz w:val="24"/>
          <w:szCs w:val="24"/>
        </w:rPr>
        <w:t>verrà fatto in particolare per definire il quadro di riferimento dei crediti ecosistemici;</w:t>
      </w:r>
    </w:p>
    <w:p w14:paraId="16AFF2DE" w14:textId="782A0E16" w:rsidR="00864B6A" w:rsidRDefault="006A70BB" w:rsidP="000D531D">
      <w:pPr>
        <w:pStyle w:val="Corpotesto"/>
        <w:numPr>
          <w:ilvl w:val="0"/>
          <w:numId w:val="4"/>
        </w:numPr>
        <w:ind w:right="45"/>
        <w:jc w:val="both"/>
        <w:rPr>
          <w:rFonts w:ascii="Arial" w:hAnsi="Arial" w:cs="Arial"/>
          <w:sz w:val="24"/>
          <w:szCs w:val="24"/>
        </w:rPr>
      </w:pPr>
      <w:r>
        <w:rPr>
          <w:rFonts w:ascii="Arial" w:hAnsi="Arial" w:cs="Arial"/>
          <w:sz w:val="24"/>
          <w:szCs w:val="24"/>
        </w:rPr>
        <w:lastRenderedPageBreak/>
        <w:t xml:space="preserve">verifica se vi sono dei </w:t>
      </w:r>
      <w:proofErr w:type="gramStart"/>
      <w:r>
        <w:rPr>
          <w:rFonts w:ascii="Arial" w:hAnsi="Arial" w:cs="Arial"/>
          <w:sz w:val="24"/>
          <w:szCs w:val="24"/>
        </w:rPr>
        <w:t>gap</w:t>
      </w:r>
      <w:proofErr w:type="gramEnd"/>
      <w:r>
        <w:rPr>
          <w:rFonts w:ascii="Arial" w:hAnsi="Arial" w:cs="Arial"/>
          <w:sz w:val="24"/>
          <w:szCs w:val="24"/>
        </w:rPr>
        <w:t xml:space="preserve"> di compliance tra i diversi livelli</w:t>
      </w:r>
      <w:r w:rsidR="00683F55">
        <w:rPr>
          <w:rFonts w:ascii="Arial" w:hAnsi="Arial" w:cs="Arial"/>
          <w:sz w:val="24"/>
          <w:szCs w:val="24"/>
        </w:rPr>
        <w:t>: comunitario, nazionale e regionale;</w:t>
      </w:r>
    </w:p>
    <w:p w14:paraId="006B4AAC" w14:textId="5AD774D9" w:rsidR="00683F55" w:rsidRPr="00735059" w:rsidRDefault="00683F55" w:rsidP="000D531D">
      <w:pPr>
        <w:pStyle w:val="Corpotesto"/>
        <w:numPr>
          <w:ilvl w:val="0"/>
          <w:numId w:val="4"/>
        </w:numPr>
        <w:ind w:right="45"/>
        <w:jc w:val="both"/>
        <w:rPr>
          <w:rFonts w:ascii="Arial" w:hAnsi="Arial" w:cs="Arial"/>
          <w:sz w:val="24"/>
          <w:szCs w:val="24"/>
        </w:rPr>
      </w:pPr>
      <w:r>
        <w:rPr>
          <w:rFonts w:ascii="Arial" w:hAnsi="Arial" w:cs="Arial"/>
          <w:sz w:val="24"/>
          <w:szCs w:val="24"/>
        </w:rPr>
        <w:t xml:space="preserve">valutazione di quali elementi possono essere utili per </w:t>
      </w:r>
      <w:r w:rsidR="00A14114">
        <w:rPr>
          <w:rFonts w:ascii="Arial" w:hAnsi="Arial" w:cs="Arial"/>
          <w:sz w:val="24"/>
          <w:szCs w:val="24"/>
        </w:rPr>
        <w:t xml:space="preserve">supportare le politiche forestali nazionali e regionali, nonché per l’implementazione del PSR regionale. </w:t>
      </w:r>
    </w:p>
    <w:p w14:paraId="01B6BF49" w14:textId="5D1D0EA8" w:rsidR="008E1946" w:rsidRDefault="008E1946" w:rsidP="006332E1">
      <w:pPr>
        <w:pStyle w:val="Corpotesto"/>
        <w:ind w:right="45"/>
        <w:jc w:val="both"/>
        <w:rPr>
          <w:rFonts w:ascii="Arial" w:hAnsi="Arial" w:cs="Arial"/>
          <w:sz w:val="24"/>
          <w:szCs w:val="24"/>
        </w:rPr>
      </w:pPr>
    </w:p>
    <w:p w14:paraId="3EC82796" w14:textId="6A236CFA" w:rsidR="001B0315" w:rsidRDefault="00B75EA4" w:rsidP="0046295D">
      <w:pPr>
        <w:pStyle w:val="Corpotesto"/>
        <w:ind w:right="45" w:firstLine="567"/>
        <w:jc w:val="both"/>
        <w:rPr>
          <w:rFonts w:ascii="Arial" w:hAnsi="Arial" w:cs="Arial"/>
          <w:sz w:val="24"/>
          <w:szCs w:val="24"/>
        </w:rPr>
      </w:pPr>
      <w:r>
        <w:rPr>
          <w:rFonts w:ascii="Arial" w:hAnsi="Arial" w:cs="Arial"/>
          <w:sz w:val="24"/>
          <w:szCs w:val="24"/>
        </w:rPr>
        <w:t xml:space="preserve">Per completare </w:t>
      </w:r>
      <w:r w:rsidR="00355CBF">
        <w:rPr>
          <w:rFonts w:ascii="Arial" w:hAnsi="Arial" w:cs="Arial"/>
          <w:sz w:val="24"/>
          <w:szCs w:val="24"/>
        </w:rPr>
        <w:t xml:space="preserve">il quadro delle norme di riferimento del progetto, si dovrebbe considerare anche </w:t>
      </w:r>
      <w:r w:rsidR="00E14E50">
        <w:rPr>
          <w:rFonts w:ascii="Arial" w:hAnsi="Arial" w:cs="Arial"/>
          <w:sz w:val="24"/>
          <w:szCs w:val="24"/>
        </w:rPr>
        <w:t xml:space="preserve">la norma che riguarda l’applicazione delle analisi LCA/PEF nelle filiere del legno, </w:t>
      </w:r>
      <w:r w:rsidR="0088104D">
        <w:rPr>
          <w:rFonts w:ascii="Arial" w:hAnsi="Arial" w:cs="Arial"/>
          <w:sz w:val="24"/>
          <w:szCs w:val="24"/>
        </w:rPr>
        <w:t xml:space="preserve">che riguardano l’attività ecosistemica di fornitura. Non si ritiene opportuno affrontare una disamina di questa normativa, </w:t>
      </w:r>
      <w:r w:rsidR="00100F63">
        <w:rPr>
          <w:rFonts w:ascii="Arial" w:hAnsi="Arial" w:cs="Arial"/>
          <w:sz w:val="24"/>
          <w:szCs w:val="24"/>
        </w:rPr>
        <w:t xml:space="preserve">in quanto non riguarda direttamente la gestione </w:t>
      </w:r>
      <w:r w:rsidR="00AA4FCC">
        <w:rPr>
          <w:rFonts w:ascii="Arial" w:hAnsi="Arial" w:cs="Arial"/>
          <w:sz w:val="24"/>
          <w:szCs w:val="24"/>
        </w:rPr>
        <w:t xml:space="preserve">forestale sostenibile. In ogni caso, l’analisi che verrà effettuata nell’azione C2 seguirà </w:t>
      </w:r>
      <w:r w:rsidR="00102941">
        <w:rPr>
          <w:rFonts w:ascii="Arial" w:hAnsi="Arial" w:cs="Arial"/>
          <w:sz w:val="24"/>
          <w:szCs w:val="24"/>
        </w:rPr>
        <w:t xml:space="preserve">la Raccomandazione </w:t>
      </w:r>
      <w:r w:rsidR="00C9592A">
        <w:rPr>
          <w:rFonts w:ascii="Arial" w:hAnsi="Arial" w:cs="Arial"/>
          <w:sz w:val="24"/>
          <w:szCs w:val="24"/>
        </w:rPr>
        <w:t xml:space="preserve">della Commissione Europea </w:t>
      </w:r>
      <w:r w:rsidR="00102941">
        <w:rPr>
          <w:rFonts w:ascii="Arial" w:hAnsi="Arial" w:cs="Arial"/>
          <w:sz w:val="24"/>
          <w:szCs w:val="24"/>
        </w:rPr>
        <w:t>179/ 2013</w:t>
      </w:r>
      <w:r w:rsidR="0046295D">
        <w:rPr>
          <w:rFonts w:ascii="Arial" w:hAnsi="Arial" w:cs="Arial"/>
          <w:sz w:val="24"/>
          <w:szCs w:val="24"/>
        </w:rPr>
        <w:t xml:space="preserve"> e i documenti ad essa collegati. </w:t>
      </w:r>
    </w:p>
    <w:p w14:paraId="069D22B1" w14:textId="3C9E201C" w:rsidR="00CD5A3A" w:rsidRDefault="00CD5A3A" w:rsidP="006332E1">
      <w:pPr>
        <w:pStyle w:val="Corpotesto"/>
        <w:ind w:right="45"/>
        <w:jc w:val="both"/>
        <w:rPr>
          <w:rFonts w:ascii="Arial" w:hAnsi="Arial" w:cs="Arial"/>
          <w:sz w:val="24"/>
          <w:szCs w:val="24"/>
        </w:rPr>
      </w:pPr>
    </w:p>
    <w:p w14:paraId="4B3D9BF5" w14:textId="105C273C" w:rsidR="0046295D" w:rsidRDefault="0046295D" w:rsidP="0046295D">
      <w:pPr>
        <w:pStyle w:val="Corpotesto"/>
        <w:ind w:right="45" w:firstLine="567"/>
        <w:jc w:val="both"/>
        <w:rPr>
          <w:rFonts w:ascii="Arial" w:hAnsi="Arial" w:cs="Arial"/>
          <w:sz w:val="24"/>
          <w:szCs w:val="24"/>
        </w:rPr>
      </w:pPr>
    </w:p>
    <w:p w14:paraId="1594DB80" w14:textId="77777777" w:rsidR="0046295D" w:rsidRPr="005C38CA" w:rsidRDefault="0046295D" w:rsidP="0046295D">
      <w:pPr>
        <w:pStyle w:val="Titolo1"/>
      </w:pPr>
      <w:bookmarkStart w:id="1" w:name="_Toc74265390"/>
      <w:r w:rsidRPr="005C38CA">
        <w:t>Il mercato EU ETS</w:t>
      </w:r>
      <w:bookmarkEnd w:id="1"/>
    </w:p>
    <w:p w14:paraId="0AB57AA5" w14:textId="77777777" w:rsidR="0046295D" w:rsidRDefault="0046295D" w:rsidP="0046295D">
      <w:pPr>
        <w:pStyle w:val="Corpotesto"/>
        <w:ind w:right="45" w:firstLine="567"/>
        <w:jc w:val="both"/>
        <w:rPr>
          <w:rFonts w:ascii="Arial" w:hAnsi="Arial" w:cs="Arial"/>
          <w:sz w:val="24"/>
          <w:szCs w:val="24"/>
        </w:rPr>
      </w:pPr>
    </w:p>
    <w:p w14:paraId="137ABDE4" w14:textId="6CD70872" w:rsidR="00A51257" w:rsidRPr="00A51257" w:rsidRDefault="00873932" w:rsidP="00474112">
      <w:pPr>
        <w:pStyle w:val="Corpotesto"/>
        <w:ind w:right="45" w:firstLine="567"/>
        <w:jc w:val="both"/>
        <w:rPr>
          <w:rFonts w:ascii="Arial" w:hAnsi="Arial" w:cs="Arial"/>
          <w:sz w:val="24"/>
          <w:szCs w:val="24"/>
        </w:rPr>
      </w:pPr>
      <w:r>
        <w:rPr>
          <w:rFonts w:ascii="Arial" w:hAnsi="Arial" w:cs="Arial"/>
          <w:sz w:val="24"/>
          <w:szCs w:val="24"/>
        </w:rPr>
        <w:t xml:space="preserve">Il Mercato Eu ETS </w:t>
      </w:r>
      <w:r w:rsidR="00F42BB7">
        <w:rPr>
          <w:rFonts w:ascii="Arial" w:hAnsi="Arial" w:cs="Arial"/>
          <w:sz w:val="24"/>
          <w:szCs w:val="24"/>
        </w:rPr>
        <w:t xml:space="preserve">è stato </w:t>
      </w:r>
      <w:r w:rsidR="00382318">
        <w:rPr>
          <w:rFonts w:ascii="Arial" w:hAnsi="Arial" w:cs="Arial"/>
          <w:sz w:val="24"/>
          <w:szCs w:val="24"/>
        </w:rPr>
        <w:t>definito</w:t>
      </w:r>
      <w:r w:rsidR="00F42BB7">
        <w:rPr>
          <w:rFonts w:ascii="Arial" w:hAnsi="Arial" w:cs="Arial"/>
          <w:sz w:val="24"/>
          <w:szCs w:val="24"/>
        </w:rPr>
        <w:t xml:space="preserve"> dall</w:t>
      </w:r>
      <w:r w:rsidRPr="001622AE">
        <w:rPr>
          <w:rFonts w:ascii="Arial" w:hAnsi="Arial" w:cs="Arial"/>
          <w:sz w:val="24"/>
          <w:szCs w:val="24"/>
        </w:rPr>
        <w:t>a direttiva 2003/87/CE</w:t>
      </w:r>
      <w:r w:rsidR="00A73E8F">
        <w:rPr>
          <w:rFonts w:ascii="Arial" w:hAnsi="Arial" w:cs="Arial"/>
          <w:sz w:val="24"/>
          <w:szCs w:val="24"/>
        </w:rPr>
        <w:t>. In ess</w:t>
      </w:r>
      <w:r w:rsidR="00275D7B">
        <w:rPr>
          <w:rFonts w:ascii="Arial" w:hAnsi="Arial" w:cs="Arial"/>
          <w:sz w:val="24"/>
          <w:szCs w:val="24"/>
        </w:rPr>
        <w:t>a</w:t>
      </w:r>
      <w:r w:rsidR="00A73E8F">
        <w:rPr>
          <w:rFonts w:ascii="Arial" w:hAnsi="Arial" w:cs="Arial"/>
          <w:sz w:val="24"/>
          <w:szCs w:val="24"/>
        </w:rPr>
        <w:t xml:space="preserve"> viene definito </w:t>
      </w:r>
      <w:r w:rsidR="00275D7B">
        <w:rPr>
          <w:rFonts w:ascii="Arial" w:hAnsi="Arial" w:cs="Arial"/>
          <w:sz w:val="24"/>
          <w:szCs w:val="24"/>
        </w:rPr>
        <w:t>il</w:t>
      </w:r>
      <w:r w:rsidR="00A73E8F">
        <w:rPr>
          <w:rFonts w:ascii="Arial" w:hAnsi="Arial" w:cs="Arial"/>
          <w:sz w:val="24"/>
          <w:szCs w:val="24"/>
        </w:rPr>
        <w:t xml:space="preserve"> processo per la sua creazione</w:t>
      </w:r>
      <w:r w:rsidR="00876068">
        <w:rPr>
          <w:rFonts w:ascii="Arial" w:hAnsi="Arial" w:cs="Arial"/>
          <w:sz w:val="24"/>
          <w:szCs w:val="24"/>
        </w:rPr>
        <w:t xml:space="preserve">, </w:t>
      </w:r>
      <w:r w:rsidR="00DF4404">
        <w:rPr>
          <w:rFonts w:ascii="Arial" w:hAnsi="Arial" w:cs="Arial"/>
          <w:sz w:val="24"/>
          <w:szCs w:val="24"/>
        </w:rPr>
        <w:t>che si è sviluppato per quasi un decennio,</w:t>
      </w:r>
      <w:r w:rsidR="00876068">
        <w:rPr>
          <w:rFonts w:ascii="Arial" w:hAnsi="Arial" w:cs="Arial"/>
          <w:sz w:val="24"/>
          <w:szCs w:val="24"/>
        </w:rPr>
        <w:t xml:space="preserve"> e</w:t>
      </w:r>
      <w:r w:rsidRPr="001622AE">
        <w:rPr>
          <w:rFonts w:ascii="Arial" w:hAnsi="Arial" w:cs="Arial"/>
          <w:sz w:val="24"/>
          <w:szCs w:val="24"/>
        </w:rPr>
        <w:t xml:space="preserve"> </w:t>
      </w:r>
      <w:r w:rsidR="00FD3116">
        <w:rPr>
          <w:rFonts w:ascii="Arial" w:hAnsi="Arial" w:cs="Arial"/>
          <w:sz w:val="24"/>
          <w:szCs w:val="24"/>
        </w:rPr>
        <w:t xml:space="preserve">viene </w:t>
      </w:r>
      <w:r w:rsidRPr="001622AE">
        <w:rPr>
          <w:rFonts w:ascii="Arial" w:hAnsi="Arial" w:cs="Arial"/>
          <w:sz w:val="24"/>
          <w:szCs w:val="24"/>
        </w:rPr>
        <w:t>sanci</w:t>
      </w:r>
      <w:r w:rsidR="00FD3116">
        <w:rPr>
          <w:rFonts w:ascii="Arial" w:hAnsi="Arial" w:cs="Arial"/>
          <w:sz w:val="24"/>
          <w:szCs w:val="24"/>
        </w:rPr>
        <w:t>to</w:t>
      </w:r>
      <w:r w:rsidRPr="001622AE">
        <w:rPr>
          <w:rFonts w:ascii="Arial" w:hAnsi="Arial" w:cs="Arial"/>
          <w:sz w:val="24"/>
          <w:szCs w:val="24"/>
        </w:rPr>
        <w:t xml:space="preserve"> che qualunque impresa</w:t>
      </w:r>
      <w:r w:rsidR="003D2C78">
        <w:rPr>
          <w:rFonts w:ascii="Arial" w:hAnsi="Arial" w:cs="Arial"/>
          <w:sz w:val="24"/>
          <w:szCs w:val="24"/>
        </w:rPr>
        <w:t xml:space="preserve"> di un ampio insieme di settori</w:t>
      </w:r>
      <w:r w:rsidRPr="001622AE">
        <w:rPr>
          <w:rFonts w:ascii="Arial" w:hAnsi="Arial" w:cs="Arial"/>
          <w:sz w:val="24"/>
          <w:szCs w:val="24"/>
        </w:rPr>
        <w:t xml:space="preserve"> che </w:t>
      </w:r>
      <w:r w:rsidR="00FD3116">
        <w:rPr>
          <w:rFonts w:ascii="Arial" w:hAnsi="Arial" w:cs="Arial"/>
          <w:sz w:val="24"/>
          <w:szCs w:val="24"/>
        </w:rPr>
        <w:t>superi</w:t>
      </w:r>
      <w:r w:rsidRPr="001622AE">
        <w:rPr>
          <w:rFonts w:ascii="Arial" w:hAnsi="Arial" w:cs="Arial"/>
          <w:sz w:val="24"/>
          <w:szCs w:val="24"/>
        </w:rPr>
        <w:t xml:space="preserve"> un</w:t>
      </w:r>
      <w:r w:rsidR="00873BF1">
        <w:rPr>
          <w:rFonts w:ascii="Arial" w:hAnsi="Arial" w:cs="Arial"/>
          <w:sz w:val="24"/>
          <w:szCs w:val="24"/>
        </w:rPr>
        <w:t>a</w:t>
      </w:r>
      <w:r w:rsidRPr="001622AE">
        <w:rPr>
          <w:rFonts w:ascii="Arial" w:hAnsi="Arial" w:cs="Arial"/>
          <w:sz w:val="24"/>
          <w:szCs w:val="24"/>
        </w:rPr>
        <w:t xml:space="preserve"> certa soglia di emissioni sia obbligata a partecipare </w:t>
      </w:r>
      <w:r w:rsidR="00876068">
        <w:rPr>
          <w:rFonts w:ascii="Arial" w:hAnsi="Arial" w:cs="Arial"/>
          <w:sz w:val="24"/>
          <w:szCs w:val="24"/>
        </w:rPr>
        <w:t>a questo mercato</w:t>
      </w:r>
      <w:r w:rsidR="005D01BC">
        <w:rPr>
          <w:rStyle w:val="Rimandonotaapidipagina"/>
          <w:rFonts w:ascii="Arial" w:hAnsi="Arial" w:cs="Arial"/>
          <w:sz w:val="24"/>
          <w:szCs w:val="24"/>
        </w:rPr>
        <w:footnoteReference w:id="13"/>
      </w:r>
      <w:r w:rsidR="00876068">
        <w:rPr>
          <w:rFonts w:ascii="Arial" w:hAnsi="Arial" w:cs="Arial"/>
          <w:sz w:val="24"/>
          <w:szCs w:val="24"/>
        </w:rPr>
        <w:t xml:space="preserve">. </w:t>
      </w:r>
      <w:r w:rsidR="005C5209">
        <w:rPr>
          <w:rFonts w:ascii="Arial" w:hAnsi="Arial" w:cs="Arial"/>
          <w:sz w:val="24"/>
          <w:szCs w:val="24"/>
        </w:rPr>
        <w:t>È</w:t>
      </w:r>
      <w:r w:rsidR="00671E14">
        <w:rPr>
          <w:rFonts w:ascii="Arial" w:hAnsi="Arial" w:cs="Arial"/>
          <w:sz w:val="24"/>
          <w:szCs w:val="24"/>
        </w:rPr>
        <w:t xml:space="preserve"> il </w:t>
      </w:r>
      <w:r w:rsidR="00A51257" w:rsidRPr="00A51257">
        <w:rPr>
          <w:rFonts w:ascii="Arial" w:hAnsi="Arial" w:cs="Arial"/>
          <w:sz w:val="24"/>
          <w:szCs w:val="24"/>
        </w:rPr>
        <w:t>più grande mercato al mondo di scambi di «diritti ad emettere» o «permessi di emissione» o «quote di CO</w:t>
      </w:r>
      <w:r w:rsidR="00A51257" w:rsidRPr="00423453">
        <w:rPr>
          <w:rFonts w:ascii="Arial" w:hAnsi="Arial" w:cs="Arial"/>
          <w:sz w:val="24"/>
          <w:szCs w:val="24"/>
          <w:vertAlign w:val="subscript"/>
        </w:rPr>
        <w:t>2</w:t>
      </w:r>
      <w:r w:rsidR="00A51257" w:rsidRPr="00A51257">
        <w:rPr>
          <w:rFonts w:ascii="Arial" w:hAnsi="Arial" w:cs="Arial"/>
          <w:sz w:val="24"/>
          <w:szCs w:val="24"/>
        </w:rPr>
        <w:t>», denominate EUA (</w:t>
      </w:r>
      <w:proofErr w:type="spellStart"/>
      <w:r w:rsidR="00A51257" w:rsidRPr="00A51257">
        <w:rPr>
          <w:rFonts w:ascii="Arial" w:hAnsi="Arial" w:cs="Arial"/>
          <w:sz w:val="24"/>
          <w:szCs w:val="24"/>
        </w:rPr>
        <w:t>European</w:t>
      </w:r>
      <w:proofErr w:type="spellEnd"/>
      <w:r w:rsidR="00A51257" w:rsidRPr="00A51257">
        <w:rPr>
          <w:rFonts w:ascii="Arial" w:hAnsi="Arial" w:cs="Arial"/>
          <w:sz w:val="24"/>
          <w:szCs w:val="24"/>
        </w:rPr>
        <w:t xml:space="preserve"> Union </w:t>
      </w:r>
      <w:proofErr w:type="spellStart"/>
      <w:r w:rsidR="00A51257" w:rsidRPr="00A51257">
        <w:rPr>
          <w:rFonts w:ascii="Arial" w:hAnsi="Arial" w:cs="Arial"/>
          <w:sz w:val="24"/>
          <w:szCs w:val="24"/>
        </w:rPr>
        <w:t>Allowances</w:t>
      </w:r>
      <w:proofErr w:type="spellEnd"/>
      <w:r w:rsidR="00A51257" w:rsidRPr="00A51257">
        <w:rPr>
          <w:rFonts w:ascii="Arial" w:hAnsi="Arial" w:cs="Arial"/>
          <w:sz w:val="24"/>
          <w:szCs w:val="24"/>
        </w:rPr>
        <w:t>). Una EUA è pari a 1 ton CO</w:t>
      </w:r>
      <w:r w:rsidR="00A51257" w:rsidRPr="00423453">
        <w:rPr>
          <w:rFonts w:ascii="Arial" w:hAnsi="Arial" w:cs="Arial"/>
          <w:sz w:val="24"/>
          <w:szCs w:val="24"/>
          <w:vertAlign w:val="subscript"/>
        </w:rPr>
        <w:t>2</w:t>
      </w:r>
      <w:r w:rsidR="00A51257" w:rsidRPr="00A51257">
        <w:rPr>
          <w:rFonts w:ascii="Arial" w:hAnsi="Arial" w:cs="Arial"/>
          <w:sz w:val="24"/>
          <w:szCs w:val="24"/>
        </w:rPr>
        <w:t xml:space="preserve"> Equivalente</w:t>
      </w:r>
      <w:r w:rsidR="00671E14">
        <w:rPr>
          <w:rFonts w:ascii="Arial" w:hAnsi="Arial" w:cs="Arial"/>
          <w:sz w:val="24"/>
          <w:szCs w:val="24"/>
        </w:rPr>
        <w:t xml:space="preserve"> ed è assimi</w:t>
      </w:r>
      <w:r w:rsidR="00DE6C0C">
        <w:rPr>
          <w:rFonts w:ascii="Arial" w:hAnsi="Arial" w:cs="Arial"/>
          <w:sz w:val="24"/>
          <w:szCs w:val="24"/>
        </w:rPr>
        <w:t>labile per molti versi ad un credito di carbonio</w:t>
      </w:r>
      <w:r w:rsidR="00DE6C0C">
        <w:rPr>
          <w:rStyle w:val="Rimandonotaapidipagina"/>
          <w:rFonts w:ascii="Arial" w:hAnsi="Arial" w:cs="Arial"/>
          <w:sz w:val="24"/>
          <w:szCs w:val="24"/>
        </w:rPr>
        <w:footnoteReference w:id="14"/>
      </w:r>
      <w:r w:rsidR="00A51257" w:rsidRPr="00A51257">
        <w:rPr>
          <w:rFonts w:ascii="Arial" w:hAnsi="Arial" w:cs="Arial"/>
          <w:sz w:val="24"/>
          <w:szCs w:val="24"/>
        </w:rPr>
        <w:t>.</w:t>
      </w:r>
    </w:p>
    <w:p w14:paraId="66D38C2C" w14:textId="45F7FB0B" w:rsidR="00A51257" w:rsidRPr="00A51257" w:rsidRDefault="00A51257" w:rsidP="00474112">
      <w:pPr>
        <w:pStyle w:val="Corpotesto"/>
        <w:ind w:right="45" w:firstLine="567"/>
        <w:jc w:val="both"/>
        <w:rPr>
          <w:rFonts w:ascii="Arial" w:hAnsi="Arial" w:cs="Arial"/>
          <w:sz w:val="24"/>
          <w:szCs w:val="24"/>
        </w:rPr>
      </w:pPr>
      <w:r w:rsidRPr="00A51257">
        <w:rPr>
          <w:rFonts w:ascii="Arial" w:hAnsi="Arial" w:cs="Arial"/>
          <w:sz w:val="24"/>
          <w:szCs w:val="24"/>
        </w:rPr>
        <w:t xml:space="preserve">Applicando il principio del </w:t>
      </w:r>
      <w:proofErr w:type="spellStart"/>
      <w:r w:rsidRPr="00A51257">
        <w:rPr>
          <w:rFonts w:ascii="Arial" w:hAnsi="Arial" w:cs="Arial"/>
          <w:sz w:val="24"/>
          <w:szCs w:val="24"/>
        </w:rPr>
        <w:t>Cap&amp;trade</w:t>
      </w:r>
      <w:proofErr w:type="spellEnd"/>
      <w:r w:rsidRPr="00A51257">
        <w:rPr>
          <w:rFonts w:ascii="Arial" w:hAnsi="Arial" w:cs="Arial"/>
          <w:sz w:val="24"/>
          <w:szCs w:val="24"/>
        </w:rPr>
        <w:t xml:space="preserve">, </w:t>
      </w:r>
      <w:r w:rsidR="006F3B78">
        <w:rPr>
          <w:rFonts w:ascii="Arial" w:hAnsi="Arial" w:cs="Arial"/>
          <w:sz w:val="24"/>
          <w:szCs w:val="24"/>
        </w:rPr>
        <w:t>la</w:t>
      </w:r>
      <w:r w:rsidR="00091DDB">
        <w:rPr>
          <w:rFonts w:ascii="Arial" w:hAnsi="Arial" w:cs="Arial"/>
          <w:sz w:val="24"/>
          <w:szCs w:val="24"/>
        </w:rPr>
        <w:t xml:space="preserve"> direttiva </w:t>
      </w:r>
      <w:r w:rsidR="00ED62BC">
        <w:rPr>
          <w:rFonts w:ascii="Arial" w:hAnsi="Arial" w:cs="Arial"/>
          <w:sz w:val="24"/>
          <w:szCs w:val="24"/>
        </w:rPr>
        <w:t xml:space="preserve">2003/87/CE </w:t>
      </w:r>
      <w:r w:rsidRPr="00A51257">
        <w:rPr>
          <w:rFonts w:ascii="Arial" w:hAnsi="Arial" w:cs="Arial"/>
          <w:sz w:val="24"/>
          <w:szCs w:val="24"/>
        </w:rPr>
        <w:t xml:space="preserve">fissa un tetto massimo alle emissioni dell’Unione e crea un meccanismo che rende «scarse» queste quote. Questo comporta che le «imprese obbligate» che superano questi limiti debbano comprare quote aggiuntive a titolo oneroso. L’obiettivo è quello di indurre le imprese </w:t>
      </w:r>
      <w:proofErr w:type="gramStart"/>
      <w:r w:rsidRPr="00A51257">
        <w:rPr>
          <w:rFonts w:ascii="Arial" w:hAnsi="Arial" w:cs="Arial"/>
          <w:sz w:val="24"/>
          <w:szCs w:val="24"/>
        </w:rPr>
        <w:t>ad</w:t>
      </w:r>
      <w:proofErr w:type="gramEnd"/>
      <w:r w:rsidRPr="00A51257">
        <w:rPr>
          <w:rFonts w:ascii="Arial" w:hAnsi="Arial" w:cs="Arial"/>
          <w:sz w:val="24"/>
          <w:szCs w:val="24"/>
        </w:rPr>
        <w:t xml:space="preserve"> adottare meccanismi di controllo (esempio innovazione tecnologica) volti a ridurre le proprie emissioni di GHG.</w:t>
      </w:r>
    </w:p>
    <w:p w14:paraId="5CB5649A" w14:textId="106BFE4B" w:rsidR="00A51257" w:rsidRPr="00A51257" w:rsidRDefault="005C5209" w:rsidP="00474112">
      <w:pPr>
        <w:pStyle w:val="Corpotesto"/>
        <w:ind w:right="45" w:firstLine="567"/>
        <w:jc w:val="both"/>
        <w:rPr>
          <w:rFonts w:ascii="Arial" w:hAnsi="Arial" w:cs="Arial"/>
          <w:sz w:val="24"/>
          <w:szCs w:val="24"/>
        </w:rPr>
      </w:pPr>
      <w:r w:rsidRPr="00A51257">
        <w:rPr>
          <w:rFonts w:ascii="Arial" w:hAnsi="Arial" w:cs="Arial"/>
          <w:sz w:val="24"/>
          <w:szCs w:val="24"/>
        </w:rPr>
        <w:t>È</w:t>
      </w:r>
      <w:r w:rsidR="00A51257" w:rsidRPr="00A51257">
        <w:rPr>
          <w:rFonts w:ascii="Arial" w:hAnsi="Arial" w:cs="Arial"/>
          <w:sz w:val="24"/>
          <w:szCs w:val="24"/>
        </w:rPr>
        <w:t xml:space="preserve"> organizzato come un vero e proprio mercato finanziario dei titoli, con venditori, compratori e trader, con un prezzo che oscilla frequentemente, quote molto liquide e aste di assegnazione delle EUA</w:t>
      </w:r>
      <w:r w:rsidR="007F4F37">
        <w:rPr>
          <w:rFonts w:ascii="Arial" w:hAnsi="Arial" w:cs="Arial"/>
          <w:sz w:val="24"/>
          <w:szCs w:val="24"/>
        </w:rPr>
        <w:t xml:space="preserve"> che hanno</w:t>
      </w:r>
      <w:r w:rsidR="00A51257" w:rsidRPr="00A51257">
        <w:rPr>
          <w:rFonts w:ascii="Arial" w:hAnsi="Arial" w:cs="Arial"/>
          <w:sz w:val="24"/>
          <w:szCs w:val="24"/>
        </w:rPr>
        <w:t xml:space="preserve"> una logica di funzionamento simile a quella dei bond.</w:t>
      </w:r>
    </w:p>
    <w:p w14:paraId="078E9928" w14:textId="34836ECF" w:rsidR="0046295D" w:rsidRDefault="0046295D" w:rsidP="006332E1">
      <w:pPr>
        <w:pStyle w:val="Corpotesto"/>
        <w:ind w:right="45"/>
        <w:jc w:val="both"/>
        <w:rPr>
          <w:rFonts w:ascii="Arial" w:hAnsi="Arial" w:cs="Arial"/>
          <w:sz w:val="24"/>
          <w:szCs w:val="24"/>
        </w:rPr>
      </w:pPr>
    </w:p>
    <w:p w14:paraId="313ED93C" w14:textId="5320AB10" w:rsidR="007D76C2" w:rsidRDefault="007D76C2" w:rsidP="006332E1">
      <w:pPr>
        <w:pStyle w:val="Corpotesto"/>
        <w:ind w:right="45"/>
        <w:jc w:val="both"/>
        <w:rPr>
          <w:rFonts w:ascii="Arial" w:hAnsi="Arial" w:cs="Arial"/>
          <w:sz w:val="24"/>
          <w:szCs w:val="24"/>
        </w:rPr>
      </w:pPr>
    </w:p>
    <w:p w14:paraId="1AC9FEE0" w14:textId="77777777" w:rsidR="007D76C2" w:rsidRDefault="007D76C2">
      <w:pPr>
        <w:rPr>
          <w:rFonts w:ascii="Arial" w:hAnsi="Arial" w:cs="Arial"/>
          <w:b/>
          <w:bCs/>
          <w:sz w:val="24"/>
          <w:szCs w:val="24"/>
        </w:rPr>
      </w:pPr>
      <w:r>
        <w:rPr>
          <w:rFonts w:ascii="Arial" w:hAnsi="Arial" w:cs="Arial"/>
          <w:b/>
          <w:bCs/>
          <w:sz w:val="24"/>
          <w:szCs w:val="24"/>
        </w:rPr>
        <w:br w:type="page"/>
      </w:r>
    </w:p>
    <w:p w14:paraId="051B7465" w14:textId="77777777" w:rsidR="007D76C2" w:rsidRDefault="007D76C2" w:rsidP="006332E1">
      <w:pPr>
        <w:pStyle w:val="Corpotesto"/>
        <w:ind w:right="45"/>
        <w:jc w:val="both"/>
        <w:rPr>
          <w:rFonts w:ascii="Arial" w:hAnsi="Arial" w:cs="Arial"/>
          <w:b/>
          <w:bCs/>
          <w:sz w:val="24"/>
          <w:szCs w:val="24"/>
        </w:rPr>
      </w:pPr>
    </w:p>
    <w:p w14:paraId="4DB0ABD2" w14:textId="524390EB" w:rsidR="00712D41" w:rsidRPr="00712D41" w:rsidRDefault="00712D41" w:rsidP="006332E1">
      <w:pPr>
        <w:pStyle w:val="Corpotesto"/>
        <w:ind w:right="45"/>
        <w:jc w:val="both"/>
        <w:rPr>
          <w:rFonts w:ascii="Arial" w:hAnsi="Arial" w:cs="Arial"/>
          <w:b/>
          <w:bCs/>
          <w:sz w:val="24"/>
          <w:szCs w:val="24"/>
        </w:rPr>
      </w:pPr>
      <w:r>
        <w:rPr>
          <w:rFonts w:ascii="Arial" w:hAnsi="Arial" w:cs="Arial"/>
          <w:b/>
          <w:bCs/>
          <w:sz w:val="24"/>
          <w:szCs w:val="24"/>
        </w:rPr>
        <w:t xml:space="preserve">Box 1 - </w:t>
      </w:r>
      <w:r w:rsidRPr="00712D41">
        <w:rPr>
          <w:rFonts w:ascii="Arial" w:hAnsi="Arial" w:cs="Arial"/>
          <w:b/>
          <w:bCs/>
          <w:sz w:val="24"/>
          <w:szCs w:val="24"/>
        </w:rPr>
        <w:t>Dati generali del Mercato EU ETS</w:t>
      </w:r>
    </w:p>
    <w:p w14:paraId="0C0CC6A7" w14:textId="77777777" w:rsidR="00146EDA" w:rsidRPr="00146EDA" w:rsidRDefault="00146EDA" w:rsidP="000D531D">
      <w:pPr>
        <w:pStyle w:val="Corpotesto"/>
        <w:numPr>
          <w:ilvl w:val="0"/>
          <w:numId w:val="9"/>
        </w:numPr>
        <w:pBdr>
          <w:top w:val="single" w:sz="12" w:space="1" w:color="auto"/>
          <w:left w:val="single" w:sz="12" w:space="4" w:color="auto"/>
          <w:bottom w:val="single" w:sz="12" w:space="1" w:color="auto"/>
          <w:right w:val="single" w:sz="12" w:space="4" w:color="auto"/>
        </w:pBdr>
        <w:ind w:right="45"/>
        <w:jc w:val="both"/>
        <w:rPr>
          <w:rFonts w:ascii="Arial" w:hAnsi="Arial" w:cs="Arial"/>
          <w:sz w:val="24"/>
          <w:szCs w:val="24"/>
        </w:rPr>
      </w:pPr>
      <w:r w:rsidRPr="00146EDA">
        <w:rPr>
          <w:rFonts w:ascii="Arial" w:hAnsi="Arial" w:cs="Arial"/>
          <w:sz w:val="24"/>
          <w:szCs w:val="24"/>
        </w:rPr>
        <w:t xml:space="preserve">A livello Europeo il mercato ETS ha coinvolto circa 11.000 imprese di 31 Paesi, responsabili del 43% delle emissioni totali dell’Unione. </w:t>
      </w:r>
    </w:p>
    <w:p w14:paraId="612DB27B" w14:textId="77777777" w:rsidR="00146EDA" w:rsidRPr="00146EDA" w:rsidRDefault="00146EDA" w:rsidP="000D531D">
      <w:pPr>
        <w:pStyle w:val="Corpotesto"/>
        <w:numPr>
          <w:ilvl w:val="0"/>
          <w:numId w:val="9"/>
        </w:numPr>
        <w:pBdr>
          <w:top w:val="single" w:sz="12" w:space="1" w:color="auto"/>
          <w:left w:val="single" w:sz="12" w:space="4" w:color="auto"/>
          <w:bottom w:val="single" w:sz="12" w:space="1" w:color="auto"/>
          <w:right w:val="single" w:sz="12" w:space="4" w:color="auto"/>
        </w:pBdr>
        <w:ind w:right="45"/>
        <w:jc w:val="both"/>
        <w:rPr>
          <w:rFonts w:ascii="Arial" w:hAnsi="Arial" w:cs="Arial"/>
          <w:sz w:val="24"/>
          <w:szCs w:val="24"/>
        </w:rPr>
      </w:pPr>
      <w:r w:rsidRPr="00146EDA">
        <w:rPr>
          <w:rFonts w:ascii="Arial" w:hAnsi="Arial" w:cs="Arial"/>
          <w:sz w:val="24"/>
          <w:szCs w:val="24"/>
        </w:rPr>
        <w:t xml:space="preserve">Nel 2019 sono state movimentate 589 milioni di EUA per un controvalore di 14,5 miliardi di euro. </w:t>
      </w:r>
    </w:p>
    <w:p w14:paraId="31251344" w14:textId="77777777" w:rsidR="00146EDA" w:rsidRPr="00146EDA" w:rsidRDefault="00146EDA" w:rsidP="000D531D">
      <w:pPr>
        <w:pStyle w:val="Corpotesto"/>
        <w:numPr>
          <w:ilvl w:val="0"/>
          <w:numId w:val="9"/>
        </w:numPr>
        <w:pBdr>
          <w:top w:val="single" w:sz="12" w:space="1" w:color="auto"/>
          <w:left w:val="single" w:sz="12" w:space="4" w:color="auto"/>
          <w:bottom w:val="single" w:sz="12" w:space="1" w:color="auto"/>
          <w:right w:val="single" w:sz="12" w:space="4" w:color="auto"/>
        </w:pBdr>
        <w:ind w:right="45"/>
        <w:jc w:val="both"/>
        <w:rPr>
          <w:rFonts w:ascii="Arial" w:hAnsi="Arial" w:cs="Arial"/>
          <w:sz w:val="24"/>
          <w:szCs w:val="24"/>
        </w:rPr>
      </w:pPr>
      <w:r w:rsidRPr="00146EDA">
        <w:rPr>
          <w:rFonts w:ascii="Arial" w:hAnsi="Arial" w:cs="Arial"/>
          <w:sz w:val="24"/>
          <w:szCs w:val="24"/>
        </w:rPr>
        <w:t xml:space="preserve">In Italia sono state scambiate 52 milioni di EUA ad un prezzo medio di 24,6 euro, per un controvalore di 1,3 miliardi. </w:t>
      </w:r>
    </w:p>
    <w:p w14:paraId="7660F7D5" w14:textId="77777777" w:rsidR="00146EDA" w:rsidRPr="00146EDA" w:rsidRDefault="00146EDA" w:rsidP="000D531D">
      <w:pPr>
        <w:pStyle w:val="Corpotesto"/>
        <w:numPr>
          <w:ilvl w:val="0"/>
          <w:numId w:val="9"/>
        </w:numPr>
        <w:pBdr>
          <w:top w:val="single" w:sz="12" w:space="1" w:color="auto"/>
          <w:left w:val="single" w:sz="12" w:space="4" w:color="auto"/>
          <w:bottom w:val="single" w:sz="12" w:space="1" w:color="auto"/>
          <w:right w:val="single" w:sz="12" w:space="4" w:color="auto"/>
        </w:pBdr>
        <w:ind w:right="45"/>
        <w:jc w:val="both"/>
        <w:rPr>
          <w:rFonts w:ascii="Arial" w:hAnsi="Arial" w:cs="Arial"/>
          <w:sz w:val="24"/>
          <w:szCs w:val="24"/>
        </w:rPr>
      </w:pPr>
      <w:r w:rsidRPr="00146EDA">
        <w:rPr>
          <w:rFonts w:ascii="Arial" w:hAnsi="Arial" w:cs="Arial"/>
          <w:sz w:val="24"/>
          <w:szCs w:val="24"/>
        </w:rPr>
        <w:t xml:space="preserve">A queste vanno aggiunte le quote del settore aereo (dette EUA A), pari a circa 700.000 unità, scambiate ad un prezzo medio di 25,2 euro per un controvalore di 18 milioni. </w:t>
      </w:r>
    </w:p>
    <w:p w14:paraId="6ACCA248" w14:textId="77777777" w:rsidR="007D76C2" w:rsidRDefault="00146EDA" w:rsidP="003D664E">
      <w:pPr>
        <w:pStyle w:val="Corpotesto"/>
        <w:ind w:right="45"/>
        <w:jc w:val="both"/>
        <w:rPr>
          <w:rFonts w:ascii="Arial" w:hAnsi="Arial" w:cs="Arial"/>
          <w:sz w:val="20"/>
          <w:szCs w:val="20"/>
        </w:rPr>
      </w:pPr>
      <w:r w:rsidRPr="00712D41">
        <w:rPr>
          <w:rFonts w:ascii="Arial" w:hAnsi="Arial" w:cs="Arial"/>
          <w:sz w:val="20"/>
          <w:szCs w:val="20"/>
        </w:rPr>
        <w:t>Fonte: GSE Rapporto 2019</w:t>
      </w:r>
    </w:p>
    <w:p w14:paraId="4262C43F" w14:textId="77777777" w:rsidR="007D76C2" w:rsidRDefault="007D76C2" w:rsidP="003D664E">
      <w:pPr>
        <w:pStyle w:val="Corpotesto"/>
        <w:ind w:right="45"/>
        <w:jc w:val="both"/>
        <w:rPr>
          <w:rFonts w:ascii="Arial" w:hAnsi="Arial" w:cs="Arial"/>
          <w:sz w:val="20"/>
          <w:szCs w:val="20"/>
        </w:rPr>
      </w:pPr>
    </w:p>
    <w:p w14:paraId="35B17D51" w14:textId="0FD451AB" w:rsidR="007D0B8E" w:rsidRPr="007D0B8E" w:rsidRDefault="007D0B8E" w:rsidP="0050340E">
      <w:pPr>
        <w:pStyle w:val="Corpotesto"/>
        <w:ind w:right="45" w:firstLine="567"/>
        <w:jc w:val="both"/>
        <w:rPr>
          <w:rFonts w:ascii="Arial" w:hAnsi="Arial" w:cs="Arial"/>
          <w:sz w:val="24"/>
          <w:szCs w:val="24"/>
        </w:rPr>
      </w:pPr>
      <w:r w:rsidRPr="007D0B8E">
        <w:rPr>
          <w:rFonts w:ascii="Arial" w:hAnsi="Arial" w:cs="Arial"/>
          <w:sz w:val="24"/>
          <w:szCs w:val="24"/>
        </w:rPr>
        <w:t>Il Mercato ETS rappresenta</w:t>
      </w:r>
      <w:r w:rsidR="0050340E">
        <w:rPr>
          <w:rFonts w:ascii="Arial" w:hAnsi="Arial" w:cs="Arial"/>
          <w:sz w:val="24"/>
          <w:szCs w:val="24"/>
        </w:rPr>
        <w:t xml:space="preserve"> un perfetto esempio</w:t>
      </w:r>
      <w:r w:rsidR="006B0A61">
        <w:rPr>
          <w:rFonts w:ascii="Arial" w:hAnsi="Arial" w:cs="Arial"/>
          <w:sz w:val="24"/>
          <w:szCs w:val="24"/>
        </w:rPr>
        <w:t xml:space="preserve"> di</w:t>
      </w:r>
      <w:r w:rsidRPr="007D0B8E">
        <w:rPr>
          <w:rFonts w:ascii="Arial" w:hAnsi="Arial" w:cs="Arial"/>
          <w:sz w:val="24"/>
          <w:szCs w:val="24"/>
        </w:rPr>
        <w:t xml:space="preserve"> uno dei «meccanismi flessibili» </w:t>
      </w:r>
      <w:r w:rsidR="006B0A61">
        <w:rPr>
          <w:rFonts w:ascii="Arial" w:hAnsi="Arial" w:cs="Arial"/>
          <w:sz w:val="24"/>
          <w:szCs w:val="24"/>
        </w:rPr>
        <w:t>introdot</w:t>
      </w:r>
      <w:r w:rsidR="00A84F7B">
        <w:rPr>
          <w:rFonts w:ascii="Arial" w:hAnsi="Arial" w:cs="Arial"/>
          <w:sz w:val="24"/>
          <w:szCs w:val="24"/>
        </w:rPr>
        <w:t xml:space="preserve">ti con il </w:t>
      </w:r>
      <w:r w:rsidRPr="007D0B8E">
        <w:rPr>
          <w:rFonts w:ascii="Arial" w:hAnsi="Arial" w:cs="Arial"/>
          <w:sz w:val="24"/>
          <w:szCs w:val="24"/>
        </w:rPr>
        <w:t>Protocollo di Kyoto</w:t>
      </w:r>
      <w:r w:rsidR="00B41357">
        <w:rPr>
          <w:rStyle w:val="Rimandonotaapidipagina"/>
          <w:rFonts w:ascii="Arial" w:hAnsi="Arial" w:cs="Arial"/>
          <w:sz w:val="24"/>
          <w:szCs w:val="24"/>
        </w:rPr>
        <w:footnoteReference w:id="15"/>
      </w:r>
      <w:r w:rsidRPr="007D0B8E">
        <w:rPr>
          <w:rFonts w:ascii="Arial" w:hAnsi="Arial" w:cs="Arial"/>
          <w:sz w:val="24"/>
          <w:szCs w:val="24"/>
        </w:rPr>
        <w:t xml:space="preserve">, nel quale l’obiettivo è </w:t>
      </w:r>
      <w:r w:rsidR="008B6210" w:rsidRPr="00C742CB">
        <w:rPr>
          <w:rFonts w:ascii="Arial" w:hAnsi="Arial" w:cs="Arial"/>
          <w:sz w:val="24"/>
          <w:szCs w:val="24"/>
        </w:rPr>
        <w:t>stato</w:t>
      </w:r>
      <w:r w:rsidR="00C742CB" w:rsidRPr="00C742CB">
        <w:rPr>
          <w:rFonts w:ascii="Arial" w:hAnsi="Arial" w:cs="Arial"/>
          <w:sz w:val="24"/>
          <w:szCs w:val="24"/>
        </w:rPr>
        <w:t>, tra gli altri,</w:t>
      </w:r>
      <w:r w:rsidRPr="007D0B8E">
        <w:rPr>
          <w:rFonts w:ascii="Arial" w:hAnsi="Arial" w:cs="Arial"/>
          <w:sz w:val="24"/>
          <w:szCs w:val="24"/>
        </w:rPr>
        <w:t xml:space="preserve"> quello di istituire </w:t>
      </w:r>
      <w:r w:rsidR="00C742CB">
        <w:rPr>
          <w:rFonts w:ascii="Arial" w:hAnsi="Arial" w:cs="Arial"/>
          <w:sz w:val="24"/>
          <w:szCs w:val="24"/>
        </w:rPr>
        <w:t xml:space="preserve">un </w:t>
      </w:r>
      <w:r w:rsidRPr="007D0B8E">
        <w:rPr>
          <w:rFonts w:ascii="Arial" w:hAnsi="Arial" w:cs="Arial"/>
          <w:sz w:val="24"/>
          <w:szCs w:val="24"/>
        </w:rPr>
        <w:t xml:space="preserve">modello globale di </w:t>
      </w:r>
      <w:proofErr w:type="spellStart"/>
      <w:r w:rsidRPr="007D0B8E">
        <w:rPr>
          <w:rFonts w:ascii="Arial" w:hAnsi="Arial" w:cs="Arial"/>
          <w:sz w:val="24"/>
          <w:szCs w:val="24"/>
        </w:rPr>
        <w:t>cap&amp;trade</w:t>
      </w:r>
      <w:proofErr w:type="spellEnd"/>
      <w:r w:rsidRPr="007D0B8E">
        <w:rPr>
          <w:rFonts w:ascii="Arial" w:hAnsi="Arial" w:cs="Arial"/>
          <w:sz w:val="24"/>
          <w:szCs w:val="24"/>
        </w:rPr>
        <w:t xml:space="preserve"> che consent</w:t>
      </w:r>
      <w:r w:rsidR="00C742CB">
        <w:rPr>
          <w:rFonts w:ascii="Arial" w:hAnsi="Arial" w:cs="Arial"/>
          <w:sz w:val="24"/>
          <w:szCs w:val="24"/>
        </w:rPr>
        <w:t>isse</w:t>
      </w:r>
      <w:r w:rsidRPr="007D0B8E">
        <w:rPr>
          <w:rFonts w:ascii="Arial" w:hAnsi="Arial" w:cs="Arial"/>
          <w:sz w:val="24"/>
          <w:szCs w:val="24"/>
        </w:rPr>
        <w:t xml:space="preserve"> lo scambio</w:t>
      </w:r>
      <w:r w:rsidR="00335B16">
        <w:rPr>
          <w:rFonts w:ascii="Arial" w:hAnsi="Arial" w:cs="Arial"/>
          <w:sz w:val="24"/>
          <w:szCs w:val="24"/>
        </w:rPr>
        <w:t xml:space="preserve"> dai Paesi in via di sviluppo</w:t>
      </w:r>
      <w:r w:rsidRPr="007D0B8E">
        <w:rPr>
          <w:rFonts w:ascii="Arial" w:hAnsi="Arial" w:cs="Arial"/>
          <w:sz w:val="24"/>
          <w:szCs w:val="24"/>
        </w:rPr>
        <w:t xml:space="preserve"> verso i Paesi industrializzati</w:t>
      </w:r>
      <w:r w:rsidR="00335B16">
        <w:rPr>
          <w:rStyle w:val="Rimandonotaapidipagina"/>
          <w:rFonts w:ascii="Arial" w:hAnsi="Arial" w:cs="Arial"/>
          <w:sz w:val="24"/>
          <w:szCs w:val="24"/>
        </w:rPr>
        <w:footnoteReference w:id="16"/>
      </w:r>
      <w:r w:rsidRPr="007D0B8E">
        <w:rPr>
          <w:rFonts w:ascii="Arial" w:hAnsi="Arial" w:cs="Arial"/>
          <w:sz w:val="24"/>
          <w:szCs w:val="24"/>
        </w:rPr>
        <w:t xml:space="preserve"> di crediti di carbonio</w:t>
      </w:r>
      <w:r w:rsidR="00285AC4">
        <w:rPr>
          <w:rFonts w:ascii="Arial" w:hAnsi="Arial" w:cs="Arial"/>
          <w:sz w:val="24"/>
          <w:szCs w:val="24"/>
        </w:rPr>
        <w:t xml:space="preserve">. I crediti venivano sviluppati attraverso progetti </w:t>
      </w:r>
      <w:r w:rsidR="00B0428A">
        <w:rPr>
          <w:rFonts w:ascii="Arial" w:hAnsi="Arial" w:cs="Arial"/>
          <w:sz w:val="24"/>
          <w:szCs w:val="24"/>
        </w:rPr>
        <w:t>attuati nei PVS con investimenti e tecnologia dei Pa</w:t>
      </w:r>
      <w:r w:rsidR="001673AE">
        <w:rPr>
          <w:rFonts w:ascii="Arial" w:hAnsi="Arial" w:cs="Arial"/>
          <w:sz w:val="24"/>
          <w:szCs w:val="24"/>
        </w:rPr>
        <w:t>esi industrializzati e controllati attraverso specifiche procedure</w:t>
      </w:r>
      <w:r w:rsidR="00041959">
        <w:rPr>
          <w:rStyle w:val="Rimandonotaapidipagina"/>
          <w:rFonts w:ascii="Arial" w:hAnsi="Arial" w:cs="Arial"/>
          <w:sz w:val="24"/>
          <w:szCs w:val="24"/>
        </w:rPr>
        <w:footnoteReference w:id="17"/>
      </w:r>
      <w:r w:rsidR="009A7ECC">
        <w:rPr>
          <w:rFonts w:ascii="Arial" w:hAnsi="Arial" w:cs="Arial"/>
          <w:sz w:val="24"/>
          <w:szCs w:val="24"/>
        </w:rPr>
        <w:t xml:space="preserve"> </w:t>
      </w:r>
      <w:r w:rsidR="00A85209">
        <w:rPr>
          <w:rFonts w:ascii="Arial" w:hAnsi="Arial" w:cs="Arial"/>
          <w:sz w:val="24"/>
          <w:szCs w:val="24"/>
        </w:rPr>
        <w:t>.</w:t>
      </w:r>
    </w:p>
    <w:p w14:paraId="1E7C8372" w14:textId="677F05AA" w:rsidR="007D0B8E" w:rsidRPr="007D0B8E" w:rsidRDefault="007D0B8E" w:rsidP="008E4784">
      <w:pPr>
        <w:pStyle w:val="Corpotesto"/>
        <w:ind w:right="45" w:firstLine="567"/>
        <w:jc w:val="both"/>
        <w:rPr>
          <w:rFonts w:ascii="Arial" w:hAnsi="Arial" w:cs="Arial"/>
          <w:sz w:val="24"/>
          <w:szCs w:val="24"/>
        </w:rPr>
      </w:pPr>
      <w:r w:rsidRPr="007D0B8E">
        <w:rPr>
          <w:rFonts w:ascii="Arial" w:hAnsi="Arial" w:cs="Arial"/>
          <w:sz w:val="24"/>
          <w:szCs w:val="24"/>
        </w:rPr>
        <w:t xml:space="preserve">L’UE ha eletto </w:t>
      </w:r>
      <w:r w:rsidR="00110200">
        <w:rPr>
          <w:rFonts w:ascii="Arial" w:hAnsi="Arial" w:cs="Arial"/>
          <w:sz w:val="24"/>
          <w:szCs w:val="24"/>
        </w:rPr>
        <w:t xml:space="preserve">il </w:t>
      </w:r>
      <w:r w:rsidRPr="007D0B8E">
        <w:rPr>
          <w:rFonts w:ascii="Arial" w:hAnsi="Arial" w:cs="Arial"/>
          <w:sz w:val="24"/>
          <w:szCs w:val="24"/>
        </w:rPr>
        <w:t xml:space="preserve">meccanismo </w:t>
      </w:r>
      <w:r w:rsidR="00110200">
        <w:rPr>
          <w:rFonts w:ascii="Arial" w:hAnsi="Arial" w:cs="Arial"/>
          <w:sz w:val="24"/>
          <w:szCs w:val="24"/>
        </w:rPr>
        <w:t xml:space="preserve">flessibile basato </w:t>
      </w:r>
      <w:r w:rsidR="00597205">
        <w:rPr>
          <w:rFonts w:ascii="Arial" w:hAnsi="Arial" w:cs="Arial"/>
          <w:sz w:val="24"/>
          <w:szCs w:val="24"/>
        </w:rPr>
        <w:t>sul</w:t>
      </w:r>
      <w:r w:rsidR="00C97535">
        <w:rPr>
          <w:rFonts w:ascii="Arial" w:hAnsi="Arial" w:cs="Arial"/>
          <w:sz w:val="24"/>
          <w:szCs w:val="24"/>
        </w:rPr>
        <w:t>le</w:t>
      </w:r>
      <w:r w:rsidR="00597205">
        <w:rPr>
          <w:rFonts w:ascii="Arial" w:hAnsi="Arial" w:cs="Arial"/>
          <w:sz w:val="24"/>
          <w:szCs w:val="24"/>
        </w:rPr>
        <w:t xml:space="preserve"> EUA</w:t>
      </w:r>
      <w:r w:rsidR="00110200">
        <w:rPr>
          <w:rFonts w:ascii="Arial" w:hAnsi="Arial" w:cs="Arial"/>
          <w:sz w:val="24"/>
          <w:szCs w:val="24"/>
        </w:rPr>
        <w:t xml:space="preserve"> </w:t>
      </w:r>
      <w:r w:rsidRPr="007D0B8E">
        <w:rPr>
          <w:rFonts w:ascii="Arial" w:hAnsi="Arial" w:cs="Arial"/>
          <w:sz w:val="24"/>
          <w:szCs w:val="24"/>
        </w:rPr>
        <w:t>quale strumento cardine delle politiche climatiche EU</w:t>
      </w:r>
      <w:r w:rsidR="00C97535">
        <w:rPr>
          <w:rFonts w:ascii="Arial" w:hAnsi="Arial" w:cs="Arial"/>
          <w:sz w:val="24"/>
          <w:szCs w:val="24"/>
        </w:rPr>
        <w:t xml:space="preserve">. Il processo per arrivare a costruire questo mercato e a renderlo efficiente </w:t>
      </w:r>
      <w:r w:rsidR="00B226BC">
        <w:rPr>
          <w:rFonts w:ascii="Arial" w:hAnsi="Arial" w:cs="Arial"/>
          <w:sz w:val="24"/>
          <w:szCs w:val="24"/>
        </w:rPr>
        <w:t xml:space="preserve">dal punto di vista dei prezzi non è stato facile e ha richiesto oltre vent’anni di lavoro. </w:t>
      </w:r>
      <w:r w:rsidR="0011495D">
        <w:rPr>
          <w:rFonts w:ascii="Arial" w:hAnsi="Arial" w:cs="Arial"/>
          <w:sz w:val="24"/>
          <w:szCs w:val="24"/>
        </w:rPr>
        <w:t>Il percorso è partito</w:t>
      </w:r>
      <w:r w:rsidR="008E4784">
        <w:rPr>
          <w:rFonts w:ascii="Arial" w:hAnsi="Arial" w:cs="Arial"/>
          <w:sz w:val="24"/>
          <w:szCs w:val="24"/>
        </w:rPr>
        <w:t xml:space="preserve"> con la presentazione da parte della Commissione Europea del </w:t>
      </w:r>
      <w:r w:rsidRPr="007D0B8E">
        <w:rPr>
          <w:rFonts w:ascii="Arial" w:hAnsi="Arial" w:cs="Arial"/>
          <w:b/>
          <w:bCs/>
          <w:sz w:val="24"/>
          <w:szCs w:val="24"/>
        </w:rPr>
        <w:t>Green Paper</w:t>
      </w:r>
      <w:r w:rsidR="00B1307E">
        <w:rPr>
          <w:rFonts w:ascii="Arial" w:hAnsi="Arial" w:cs="Arial"/>
          <w:b/>
          <w:bCs/>
          <w:sz w:val="24"/>
          <w:szCs w:val="24"/>
        </w:rPr>
        <w:t xml:space="preserve"> </w:t>
      </w:r>
      <w:r w:rsidR="00B1307E" w:rsidRPr="00820E4A">
        <w:rPr>
          <w:rFonts w:ascii="Arial" w:hAnsi="Arial" w:cs="Arial"/>
          <w:sz w:val="24"/>
          <w:szCs w:val="24"/>
        </w:rPr>
        <w:t>(marzo 20</w:t>
      </w:r>
      <w:r w:rsidR="00820E4A" w:rsidRPr="00820E4A">
        <w:rPr>
          <w:rFonts w:ascii="Arial" w:hAnsi="Arial" w:cs="Arial"/>
          <w:sz w:val="24"/>
          <w:szCs w:val="24"/>
        </w:rPr>
        <w:t>0</w:t>
      </w:r>
      <w:r w:rsidR="00B6537E">
        <w:rPr>
          <w:rFonts w:ascii="Arial" w:hAnsi="Arial" w:cs="Arial"/>
          <w:sz w:val="24"/>
          <w:szCs w:val="24"/>
        </w:rPr>
        <w:t>0</w:t>
      </w:r>
      <w:r w:rsidR="00820E4A" w:rsidRPr="00820E4A">
        <w:rPr>
          <w:rFonts w:ascii="Arial" w:hAnsi="Arial" w:cs="Arial"/>
          <w:sz w:val="24"/>
          <w:szCs w:val="24"/>
        </w:rPr>
        <w:t>)</w:t>
      </w:r>
      <w:r w:rsidRPr="007D0B8E">
        <w:rPr>
          <w:rFonts w:ascii="Arial" w:hAnsi="Arial" w:cs="Arial"/>
          <w:sz w:val="24"/>
          <w:szCs w:val="24"/>
        </w:rPr>
        <w:t xml:space="preserve">, disegnando il primo schema di mercato ETS. </w:t>
      </w:r>
    </w:p>
    <w:p w14:paraId="7B9A6EF1" w14:textId="72729920" w:rsidR="007D0B8E" w:rsidRPr="007D0B8E" w:rsidRDefault="007D0B8E" w:rsidP="00820E4A">
      <w:pPr>
        <w:pStyle w:val="Corpotesto"/>
        <w:ind w:right="45" w:firstLine="567"/>
        <w:jc w:val="both"/>
        <w:rPr>
          <w:rFonts w:ascii="Arial" w:hAnsi="Arial" w:cs="Arial"/>
          <w:sz w:val="24"/>
          <w:szCs w:val="24"/>
        </w:rPr>
      </w:pPr>
      <w:r w:rsidRPr="007D0B8E">
        <w:rPr>
          <w:rFonts w:ascii="Arial" w:hAnsi="Arial" w:cs="Arial"/>
          <w:sz w:val="24"/>
          <w:szCs w:val="24"/>
        </w:rPr>
        <w:t xml:space="preserve">Nel 2003 pubblicò la direttiva </w:t>
      </w:r>
      <w:r w:rsidRPr="00820E4A">
        <w:rPr>
          <w:rFonts w:ascii="Arial" w:hAnsi="Arial" w:cs="Arial"/>
          <w:sz w:val="24"/>
          <w:szCs w:val="24"/>
        </w:rPr>
        <w:t xml:space="preserve">2003/87/CE </w:t>
      </w:r>
      <w:r w:rsidR="00820E4A">
        <w:rPr>
          <w:rFonts w:ascii="Arial" w:hAnsi="Arial" w:cs="Arial"/>
          <w:sz w:val="24"/>
          <w:szCs w:val="24"/>
        </w:rPr>
        <w:t>e d</w:t>
      </w:r>
      <w:r w:rsidRPr="007D0B8E">
        <w:rPr>
          <w:rFonts w:ascii="Arial" w:hAnsi="Arial" w:cs="Arial"/>
          <w:sz w:val="24"/>
          <w:szCs w:val="24"/>
        </w:rPr>
        <w:t xml:space="preserve">a allora si sistema si sé sviluppato attraverso </w:t>
      </w:r>
      <w:r w:rsidRPr="007D0B8E">
        <w:rPr>
          <w:rFonts w:ascii="Arial" w:hAnsi="Arial" w:cs="Arial"/>
          <w:b/>
          <w:bCs/>
          <w:sz w:val="24"/>
          <w:szCs w:val="24"/>
        </w:rPr>
        <w:t>diverse fasi</w:t>
      </w:r>
      <w:r w:rsidRPr="007D0B8E">
        <w:rPr>
          <w:rFonts w:ascii="Arial" w:hAnsi="Arial" w:cs="Arial"/>
          <w:sz w:val="24"/>
          <w:szCs w:val="24"/>
        </w:rPr>
        <w:t xml:space="preserve">, fino ad arrivare a quella attuale, </w:t>
      </w:r>
      <w:r w:rsidR="008737F0">
        <w:rPr>
          <w:rFonts w:ascii="Arial" w:hAnsi="Arial" w:cs="Arial"/>
          <w:sz w:val="24"/>
          <w:szCs w:val="24"/>
        </w:rPr>
        <w:t>la quarta fase</w:t>
      </w:r>
      <w:r w:rsidR="00340A10">
        <w:rPr>
          <w:rFonts w:ascii="Arial" w:hAnsi="Arial" w:cs="Arial"/>
          <w:sz w:val="24"/>
          <w:szCs w:val="24"/>
        </w:rPr>
        <w:t xml:space="preserve"> che riguarda il periodo 2021-2030 e vede il mercato EU ETS perfettamente funzionate in tutti i suoi aspetti</w:t>
      </w:r>
      <w:r w:rsidRPr="007D0B8E">
        <w:rPr>
          <w:rFonts w:ascii="Arial" w:hAnsi="Arial" w:cs="Arial"/>
          <w:sz w:val="24"/>
          <w:szCs w:val="24"/>
        </w:rPr>
        <w:t xml:space="preserve">. </w:t>
      </w:r>
    </w:p>
    <w:p w14:paraId="104BD7F9" w14:textId="4A0EDC31" w:rsidR="001275AD" w:rsidRDefault="001622AE" w:rsidP="0003417F">
      <w:pPr>
        <w:pStyle w:val="Corpotesto"/>
        <w:ind w:right="45" w:firstLine="567"/>
        <w:jc w:val="both"/>
        <w:rPr>
          <w:rFonts w:ascii="Arial" w:hAnsi="Arial" w:cs="Arial"/>
          <w:sz w:val="24"/>
          <w:szCs w:val="24"/>
        </w:rPr>
      </w:pPr>
      <w:r w:rsidRPr="001622AE">
        <w:rPr>
          <w:rFonts w:ascii="Arial" w:hAnsi="Arial" w:cs="Arial"/>
          <w:sz w:val="24"/>
          <w:szCs w:val="24"/>
        </w:rPr>
        <w:t xml:space="preserve">Nella direttiva e 2003/87/CE e in quelle seguenti, si stabiliscono gli elementi regolatori del mercato e se ne demanda alle Autorità Nazionali Competenti la gestione. </w:t>
      </w:r>
      <w:r w:rsidR="00402710">
        <w:rPr>
          <w:rFonts w:ascii="Arial" w:hAnsi="Arial" w:cs="Arial"/>
          <w:sz w:val="24"/>
          <w:szCs w:val="24"/>
        </w:rPr>
        <w:t xml:space="preserve">Gli elementi essenziali </w:t>
      </w:r>
      <w:r w:rsidR="000C7845">
        <w:rPr>
          <w:rFonts w:ascii="Arial" w:hAnsi="Arial" w:cs="Arial"/>
          <w:sz w:val="24"/>
          <w:szCs w:val="24"/>
        </w:rPr>
        <w:t>che caratterizzano la gestione del mercato EU ETS sono i seguenti:</w:t>
      </w:r>
    </w:p>
    <w:p w14:paraId="1BE93EEE" w14:textId="77777777" w:rsidR="001275AD" w:rsidRDefault="001275AD" w:rsidP="0003417F">
      <w:pPr>
        <w:pStyle w:val="Corpotesto"/>
        <w:ind w:right="45" w:firstLine="567"/>
        <w:jc w:val="both"/>
        <w:rPr>
          <w:rFonts w:ascii="Arial" w:hAnsi="Arial" w:cs="Arial"/>
          <w:sz w:val="24"/>
          <w:szCs w:val="24"/>
        </w:rPr>
      </w:pPr>
    </w:p>
    <w:p w14:paraId="72A459E4" w14:textId="3C069120" w:rsidR="001275AD" w:rsidRPr="00766681" w:rsidRDefault="001275AD" w:rsidP="00076117">
      <w:pPr>
        <w:pStyle w:val="Corpotesto"/>
        <w:numPr>
          <w:ilvl w:val="0"/>
          <w:numId w:val="11"/>
        </w:numPr>
        <w:ind w:right="45"/>
        <w:jc w:val="both"/>
        <w:rPr>
          <w:rFonts w:ascii="Arial" w:hAnsi="Arial" w:cs="Arial"/>
          <w:sz w:val="24"/>
          <w:szCs w:val="24"/>
        </w:rPr>
      </w:pPr>
      <w:r w:rsidRPr="00766681">
        <w:rPr>
          <w:rFonts w:ascii="Arial" w:hAnsi="Arial" w:cs="Arial"/>
          <w:sz w:val="24"/>
          <w:szCs w:val="24"/>
        </w:rPr>
        <w:t xml:space="preserve">Ogni Stato Membro che partecipa all’ETS riceve una determinata quantità di EUA, che il Comitato </w:t>
      </w:r>
      <w:r w:rsidR="00F12D60">
        <w:rPr>
          <w:rFonts w:ascii="Arial" w:hAnsi="Arial" w:cs="Arial"/>
          <w:sz w:val="24"/>
          <w:szCs w:val="24"/>
        </w:rPr>
        <w:t xml:space="preserve">EU </w:t>
      </w:r>
      <w:r w:rsidRPr="00766681">
        <w:rPr>
          <w:rFonts w:ascii="Arial" w:hAnsi="Arial" w:cs="Arial"/>
          <w:sz w:val="24"/>
          <w:szCs w:val="24"/>
        </w:rPr>
        <w:t>ETS</w:t>
      </w:r>
      <w:r w:rsidR="003B6BF1">
        <w:rPr>
          <w:rFonts w:ascii="Arial" w:hAnsi="Arial" w:cs="Arial"/>
          <w:sz w:val="24"/>
          <w:szCs w:val="24"/>
        </w:rPr>
        <w:t xml:space="preserve"> centrale</w:t>
      </w:r>
      <w:r w:rsidRPr="00766681">
        <w:rPr>
          <w:rFonts w:ascii="Arial" w:hAnsi="Arial" w:cs="Arial"/>
          <w:sz w:val="24"/>
          <w:szCs w:val="24"/>
        </w:rPr>
        <w:t xml:space="preserve"> distribuisce secondo diversi criteri: parte è gratuita e parte distribuita mediante aste.</w:t>
      </w:r>
    </w:p>
    <w:p w14:paraId="261984D4" w14:textId="077552C5" w:rsidR="001275AD" w:rsidRPr="00766681" w:rsidRDefault="001275AD" w:rsidP="00076117">
      <w:pPr>
        <w:pStyle w:val="Corpotesto"/>
        <w:numPr>
          <w:ilvl w:val="0"/>
          <w:numId w:val="11"/>
        </w:numPr>
        <w:ind w:right="45"/>
        <w:jc w:val="both"/>
        <w:rPr>
          <w:rFonts w:ascii="Arial" w:hAnsi="Arial" w:cs="Arial"/>
          <w:sz w:val="24"/>
          <w:szCs w:val="24"/>
        </w:rPr>
      </w:pPr>
      <w:r w:rsidRPr="00766681">
        <w:rPr>
          <w:rFonts w:ascii="Arial" w:hAnsi="Arial" w:cs="Arial"/>
          <w:sz w:val="24"/>
          <w:szCs w:val="24"/>
        </w:rPr>
        <w:t>Le imprese di determinati settori sono obbligate a partecipare a ETS per coprire le proprie emissioni con EUA.</w:t>
      </w:r>
      <w:r w:rsidR="003B6BF1">
        <w:rPr>
          <w:rFonts w:ascii="Arial" w:hAnsi="Arial" w:cs="Arial"/>
          <w:sz w:val="24"/>
          <w:szCs w:val="24"/>
        </w:rPr>
        <w:t xml:space="preserve"> </w:t>
      </w:r>
      <w:r w:rsidR="00CA7AFE" w:rsidRPr="001622AE">
        <w:rPr>
          <w:rFonts w:ascii="Arial" w:hAnsi="Arial" w:cs="Arial"/>
          <w:b/>
          <w:bCs/>
          <w:sz w:val="24"/>
          <w:szCs w:val="24"/>
        </w:rPr>
        <w:t>Attualmente</w:t>
      </w:r>
      <w:r w:rsidR="00CA7AFE" w:rsidRPr="001622AE">
        <w:rPr>
          <w:rFonts w:ascii="Arial" w:hAnsi="Arial" w:cs="Arial"/>
          <w:sz w:val="24"/>
          <w:szCs w:val="24"/>
        </w:rPr>
        <w:t xml:space="preserve">, </w:t>
      </w:r>
      <w:r w:rsidR="006E0643">
        <w:rPr>
          <w:rFonts w:ascii="Arial" w:hAnsi="Arial" w:cs="Arial"/>
          <w:sz w:val="24"/>
          <w:szCs w:val="24"/>
        </w:rPr>
        <w:t xml:space="preserve">per </w:t>
      </w:r>
      <w:r w:rsidR="00BA5344">
        <w:rPr>
          <w:rFonts w:ascii="Arial" w:hAnsi="Arial" w:cs="Arial"/>
          <w:sz w:val="24"/>
          <w:szCs w:val="24"/>
        </w:rPr>
        <w:t>i settori</w:t>
      </w:r>
      <w:r w:rsidR="006E0643">
        <w:rPr>
          <w:rFonts w:ascii="Arial" w:hAnsi="Arial" w:cs="Arial"/>
          <w:sz w:val="24"/>
          <w:szCs w:val="24"/>
        </w:rPr>
        <w:t xml:space="preserve"> industriali </w:t>
      </w:r>
      <w:r w:rsidR="00CA7AFE" w:rsidRPr="001622AE">
        <w:rPr>
          <w:rFonts w:ascii="Arial" w:hAnsi="Arial" w:cs="Arial"/>
          <w:sz w:val="24"/>
          <w:szCs w:val="24"/>
        </w:rPr>
        <w:t xml:space="preserve">la soglia delle emissioni è stabilita in impianti che </w:t>
      </w:r>
      <w:r w:rsidR="00BA5344">
        <w:rPr>
          <w:rFonts w:ascii="Arial" w:hAnsi="Arial" w:cs="Arial"/>
          <w:sz w:val="24"/>
          <w:szCs w:val="24"/>
        </w:rPr>
        <w:t>ut</w:t>
      </w:r>
      <w:r w:rsidR="00037C69">
        <w:rPr>
          <w:rFonts w:ascii="Arial" w:hAnsi="Arial" w:cs="Arial"/>
          <w:sz w:val="24"/>
          <w:szCs w:val="24"/>
        </w:rPr>
        <w:t>ilizzano</w:t>
      </w:r>
      <w:r w:rsidR="00CA7AFE" w:rsidRPr="001622AE">
        <w:rPr>
          <w:rFonts w:ascii="Arial" w:hAnsi="Arial" w:cs="Arial"/>
          <w:sz w:val="24"/>
          <w:szCs w:val="24"/>
        </w:rPr>
        <w:t xml:space="preserve"> almeno 20 MW</w:t>
      </w:r>
      <w:r w:rsidR="00037C69">
        <w:rPr>
          <w:rFonts w:ascii="Arial" w:hAnsi="Arial" w:cs="Arial"/>
          <w:sz w:val="24"/>
          <w:szCs w:val="24"/>
        </w:rPr>
        <w:t>/anno.</w:t>
      </w:r>
    </w:p>
    <w:p w14:paraId="3C097C60" w14:textId="12F37C99" w:rsidR="001275AD" w:rsidRPr="00766681" w:rsidRDefault="001275AD" w:rsidP="00076117">
      <w:pPr>
        <w:pStyle w:val="Corpotesto"/>
        <w:numPr>
          <w:ilvl w:val="0"/>
          <w:numId w:val="11"/>
        </w:numPr>
        <w:ind w:right="45"/>
        <w:jc w:val="both"/>
        <w:rPr>
          <w:rFonts w:ascii="Arial" w:hAnsi="Arial" w:cs="Arial"/>
          <w:sz w:val="24"/>
          <w:szCs w:val="24"/>
        </w:rPr>
      </w:pPr>
      <w:r w:rsidRPr="00766681">
        <w:rPr>
          <w:rFonts w:ascii="Arial" w:hAnsi="Arial" w:cs="Arial"/>
          <w:sz w:val="24"/>
          <w:szCs w:val="24"/>
        </w:rPr>
        <w:t>Ad ogni impresa di regola viene assegnato un certo ammontare di EUA gratuite. Tale ammontare è strettamente legato al «</w:t>
      </w:r>
      <w:proofErr w:type="spellStart"/>
      <w:r w:rsidRPr="00766681">
        <w:rPr>
          <w:rFonts w:ascii="Arial" w:hAnsi="Arial" w:cs="Arial"/>
          <w:sz w:val="24"/>
          <w:szCs w:val="24"/>
        </w:rPr>
        <w:t>cap</w:t>
      </w:r>
      <w:proofErr w:type="spellEnd"/>
      <w:r w:rsidRPr="00766681">
        <w:rPr>
          <w:rFonts w:ascii="Arial" w:hAnsi="Arial" w:cs="Arial"/>
          <w:sz w:val="24"/>
          <w:szCs w:val="24"/>
        </w:rPr>
        <w:t>»</w:t>
      </w:r>
      <w:r w:rsidR="00764D1E">
        <w:rPr>
          <w:rFonts w:ascii="Arial" w:hAnsi="Arial" w:cs="Arial"/>
          <w:sz w:val="24"/>
          <w:szCs w:val="24"/>
        </w:rPr>
        <w:t xml:space="preserve">, ovvero il tetto complessivo delle quote </w:t>
      </w:r>
      <w:r w:rsidR="00976E75">
        <w:rPr>
          <w:rFonts w:ascii="Arial" w:hAnsi="Arial" w:cs="Arial"/>
          <w:sz w:val="24"/>
          <w:szCs w:val="24"/>
        </w:rPr>
        <w:t xml:space="preserve">in circolazione, </w:t>
      </w:r>
      <w:r w:rsidRPr="00766681">
        <w:rPr>
          <w:rFonts w:ascii="Arial" w:hAnsi="Arial" w:cs="Arial"/>
          <w:sz w:val="24"/>
          <w:szCs w:val="24"/>
        </w:rPr>
        <w:t xml:space="preserve">che viene </w:t>
      </w:r>
      <w:r w:rsidR="00037C69">
        <w:rPr>
          <w:rFonts w:ascii="Arial" w:hAnsi="Arial" w:cs="Arial"/>
          <w:sz w:val="24"/>
          <w:szCs w:val="24"/>
        </w:rPr>
        <w:t>ribassato ogni anno</w:t>
      </w:r>
      <w:r w:rsidR="003D3AA9">
        <w:rPr>
          <w:rStyle w:val="Rimandonotaapidipagina"/>
          <w:rFonts w:ascii="Arial" w:hAnsi="Arial" w:cs="Arial"/>
          <w:sz w:val="24"/>
          <w:szCs w:val="24"/>
        </w:rPr>
        <w:footnoteReference w:id="18"/>
      </w:r>
      <w:r w:rsidRPr="00766681">
        <w:rPr>
          <w:rFonts w:ascii="Arial" w:hAnsi="Arial" w:cs="Arial"/>
          <w:sz w:val="24"/>
          <w:szCs w:val="24"/>
        </w:rPr>
        <w:t xml:space="preserve">. Se un’impresa nel suo ciclo produttivo annuale produce con meno emissioni della sua allocazione diventa un offerente. Nel caso contrario diventa un acquirente: Il meccanismo di scambio ha </w:t>
      </w:r>
      <w:r w:rsidRPr="00766681">
        <w:rPr>
          <w:rFonts w:ascii="Arial" w:hAnsi="Arial" w:cs="Arial"/>
          <w:sz w:val="24"/>
          <w:szCs w:val="24"/>
        </w:rPr>
        <w:lastRenderedPageBreak/>
        <w:t>diversi canali, tra cui quello</w:t>
      </w:r>
      <w:r w:rsidR="00976E75">
        <w:rPr>
          <w:rFonts w:ascii="Arial" w:hAnsi="Arial" w:cs="Arial"/>
          <w:sz w:val="24"/>
          <w:szCs w:val="24"/>
        </w:rPr>
        <w:t xml:space="preserve"> già citato</w:t>
      </w:r>
      <w:r w:rsidRPr="00766681">
        <w:rPr>
          <w:rFonts w:ascii="Arial" w:hAnsi="Arial" w:cs="Arial"/>
          <w:sz w:val="24"/>
          <w:szCs w:val="24"/>
        </w:rPr>
        <w:t xml:space="preserve"> delle aste. </w:t>
      </w:r>
    </w:p>
    <w:p w14:paraId="77A67357" w14:textId="23D20405" w:rsidR="001275AD" w:rsidRDefault="00976E75" w:rsidP="00976E75">
      <w:pPr>
        <w:pStyle w:val="Corpotesto"/>
        <w:ind w:right="45" w:firstLine="567"/>
        <w:jc w:val="center"/>
        <w:rPr>
          <w:rFonts w:ascii="Arial" w:hAnsi="Arial" w:cs="Arial"/>
          <w:sz w:val="24"/>
          <w:szCs w:val="24"/>
        </w:rPr>
      </w:pPr>
      <w:r w:rsidRPr="0084456E">
        <w:rPr>
          <w:rFonts w:ascii="Arial" w:hAnsi="Arial" w:cs="Arial"/>
          <w:noProof/>
          <w:sz w:val="24"/>
          <w:szCs w:val="24"/>
        </w:rPr>
        <w:drawing>
          <wp:inline distT="0" distB="0" distL="0" distR="0" wp14:anchorId="4AF10A35" wp14:editId="1C217DA8">
            <wp:extent cx="4410000" cy="1948605"/>
            <wp:effectExtent l="0" t="0" r="0" b="0"/>
            <wp:docPr id="2" name="Immagine 1">
              <a:extLst xmlns:a="http://schemas.openxmlformats.org/drawingml/2006/main">
                <a:ext uri="{FF2B5EF4-FFF2-40B4-BE49-F238E27FC236}">
                  <a16:creationId xmlns:a16="http://schemas.microsoft.com/office/drawing/2014/main" id="{21185D91-30C8-4001-9B4A-62FBAA12D1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21185D91-30C8-4001-9B4A-62FBAA12D1C9}"/>
                        </a:ext>
                      </a:extLst>
                    </pic:cNvPr>
                    <pic:cNvPicPr>
                      <a:picLocks noChangeAspect="1"/>
                    </pic:cNvPicPr>
                  </pic:nvPicPr>
                  <pic:blipFill>
                    <a:blip r:embed="rId8"/>
                    <a:stretch>
                      <a:fillRect/>
                    </a:stretch>
                  </pic:blipFill>
                  <pic:spPr>
                    <a:xfrm>
                      <a:off x="0" y="0"/>
                      <a:ext cx="4410000" cy="1948605"/>
                    </a:xfrm>
                    <a:prstGeom prst="rect">
                      <a:avLst/>
                    </a:prstGeom>
                  </pic:spPr>
                </pic:pic>
              </a:graphicData>
            </a:graphic>
          </wp:inline>
        </w:drawing>
      </w:r>
    </w:p>
    <w:p w14:paraId="71637465" w14:textId="63183635" w:rsidR="001275AD" w:rsidRPr="00935CF6" w:rsidRDefault="00935CF6" w:rsidP="00935CF6">
      <w:pPr>
        <w:pStyle w:val="Corpotesto"/>
        <w:ind w:right="45" w:firstLine="567"/>
        <w:jc w:val="center"/>
        <w:rPr>
          <w:rFonts w:ascii="Arial" w:hAnsi="Arial" w:cs="Arial"/>
          <w:sz w:val="20"/>
          <w:szCs w:val="20"/>
        </w:rPr>
      </w:pPr>
      <w:r w:rsidRPr="00935CF6">
        <w:rPr>
          <w:rFonts w:ascii="Arial" w:hAnsi="Arial" w:cs="Arial"/>
          <w:sz w:val="20"/>
          <w:szCs w:val="20"/>
        </w:rPr>
        <w:t>Fig. 1 – Rappresentazione semplificata del mercato EU ETS (Fonte: ISPRA)</w:t>
      </w:r>
    </w:p>
    <w:p w14:paraId="1D64DC99" w14:textId="77777777" w:rsidR="001275AD" w:rsidRDefault="001275AD" w:rsidP="0003417F">
      <w:pPr>
        <w:pStyle w:val="Corpotesto"/>
        <w:ind w:right="45" w:firstLine="567"/>
        <w:jc w:val="both"/>
        <w:rPr>
          <w:rFonts w:ascii="Arial" w:hAnsi="Arial" w:cs="Arial"/>
          <w:sz w:val="24"/>
          <w:szCs w:val="24"/>
        </w:rPr>
      </w:pPr>
    </w:p>
    <w:p w14:paraId="26E1733D" w14:textId="0281E2B9" w:rsidR="001622AE" w:rsidRPr="001622AE" w:rsidRDefault="001622AE" w:rsidP="00C4165F">
      <w:pPr>
        <w:pStyle w:val="Corpotesto"/>
        <w:ind w:right="45"/>
        <w:jc w:val="both"/>
        <w:rPr>
          <w:rFonts w:ascii="Arial" w:hAnsi="Arial" w:cs="Arial"/>
          <w:sz w:val="24"/>
          <w:szCs w:val="24"/>
        </w:rPr>
      </w:pPr>
      <w:r w:rsidRPr="001622AE">
        <w:rPr>
          <w:rFonts w:ascii="Arial" w:hAnsi="Arial" w:cs="Arial"/>
          <w:sz w:val="24"/>
          <w:szCs w:val="24"/>
        </w:rPr>
        <w:t xml:space="preserve">In Italia, gli enti regolatori sono: </w:t>
      </w:r>
    </w:p>
    <w:p w14:paraId="320EB74A" w14:textId="1A0746E9" w:rsidR="001622AE" w:rsidRPr="001622AE" w:rsidRDefault="001622AE" w:rsidP="00076117">
      <w:pPr>
        <w:pStyle w:val="Corpotesto"/>
        <w:numPr>
          <w:ilvl w:val="1"/>
          <w:numId w:val="10"/>
        </w:numPr>
        <w:ind w:right="45"/>
        <w:jc w:val="both"/>
        <w:rPr>
          <w:rFonts w:ascii="Arial" w:hAnsi="Arial" w:cs="Arial"/>
          <w:sz w:val="24"/>
          <w:szCs w:val="24"/>
        </w:rPr>
      </w:pPr>
      <w:r w:rsidRPr="001622AE">
        <w:rPr>
          <w:rFonts w:ascii="Arial" w:hAnsi="Arial" w:cs="Arial"/>
          <w:sz w:val="24"/>
          <w:szCs w:val="24"/>
        </w:rPr>
        <w:t xml:space="preserve">Il Comitato ETS, Presieduto dal MATTM, con vicepresidenza del MISE e con presenza di ISPRA e GSE. </w:t>
      </w:r>
      <w:r w:rsidR="005C5209" w:rsidRPr="001622AE">
        <w:rPr>
          <w:rFonts w:ascii="Arial" w:hAnsi="Arial" w:cs="Arial"/>
          <w:sz w:val="24"/>
          <w:szCs w:val="24"/>
        </w:rPr>
        <w:t>È</w:t>
      </w:r>
      <w:r w:rsidRPr="001622AE">
        <w:rPr>
          <w:rFonts w:ascii="Arial" w:hAnsi="Arial" w:cs="Arial"/>
          <w:sz w:val="24"/>
          <w:szCs w:val="24"/>
        </w:rPr>
        <w:t xml:space="preserve"> incaricato di trattare le quote totali di EUA assegnate all’Italia da parte della Commissione. Decide le nuove entrate, le modifiche e le revoche mediante delibere. </w:t>
      </w:r>
    </w:p>
    <w:p w14:paraId="799A5A56" w14:textId="77777777" w:rsidR="001622AE" w:rsidRPr="001622AE" w:rsidRDefault="001622AE" w:rsidP="00076117">
      <w:pPr>
        <w:pStyle w:val="Corpotesto"/>
        <w:numPr>
          <w:ilvl w:val="1"/>
          <w:numId w:val="10"/>
        </w:numPr>
        <w:ind w:right="45"/>
        <w:jc w:val="both"/>
        <w:rPr>
          <w:rFonts w:ascii="Arial" w:hAnsi="Arial" w:cs="Arial"/>
          <w:sz w:val="24"/>
          <w:szCs w:val="24"/>
        </w:rPr>
      </w:pPr>
      <w:r w:rsidRPr="001622AE">
        <w:rPr>
          <w:rFonts w:ascii="Arial" w:hAnsi="Arial" w:cs="Arial"/>
          <w:sz w:val="24"/>
          <w:szCs w:val="24"/>
        </w:rPr>
        <w:t xml:space="preserve">ISPRA, che detiene la gestione del </w:t>
      </w:r>
      <w:r w:rsidRPr="00324AE9">
        <w:rPr>
          <w:rFonts w:ascii="Arial" w:hAnsi="Arial" w:cs="Arial"/>
          <w:b/>
          <w:bCs/>
          <w:i/>
          <w:iCs/>
          <w:sz w:val="24"/>
          <w:szCs w:val="24"/>
        </w:rPr>
        <w:t>Registro italiano per l’</w:t>
      </w:r>
      <w:proofErr w:type="spellStart"/>
      <w:r w:rsidRPr="00324AE9">
        <w:rPr>
          <w:rFonts w:ascii="Arial" w:hAnsi="Arial" w:cs="Arial"/>
          <w:b/>
          <w:bCs/>
          <w:i/>
          <w:iCs/>
          <w:sz w:val="24"/>
          <w:szCs w:val="24"/>
        </w:rPr>
        <w:t>Emission</w:t>
      </w:r>
      <w:proofErr w:type="spellEnd"/>
      <w:r w:rsidRPr="00324AE9">
        <w:rPr>
          <w:rFonts w:ascii="Arial" w:hAnsi="Arial" w:cs="Arial"/>
          <w:b/>
          <w:bCs/>
          <w:i/>
          <w:iCs/>
          <w:sz w:val="24"/>
          <w:szCs w:val="24"/>
        </w:rPr>
        <w:t xml:space="preserve"> Trading</w:t>
      </w:r>
      <w:r w:rsidRPr="001622AE">
        <w:rPr>
          <w:rFonts w:ascii="Arial" w:hAnsi="Arial" w:cs="Arial"/>
          <w:sz w:val="24"/>
          <w:szCs w:val="24"/>
        </w:rPr>
        <w:t xml:space="preserve"> e gestisce le compliance con lo stesso; questo registro è parte di un Registro Unico Europeo;</w:t>
      </w:r>
    </w:p>
    <w:p w14:paraId="318887E2" w14:textId="08281B52" w:rsidR="001622AE" w:rsidRPr="001622AE" w:rsidRDefault="001622AE" w:rsidP="00076117">
      <w:pPr>
        <w:pStyle w:val="Corpotesto"/>
        <w:numPr>
          <w:ilvl w:val="1"/>
          <w:numId w:val="10"/>
        </w:numPr>
        <w:ind w:right="45"/>
        <w:jc w:val="both"/>
        <w:rPr>
          <w:rFonts w:ascii="Arial" w:hAnsi="Arial" w:cs="Arial"/>
          <w:sz w:val="24"/>
          <w:szCs w:val="24"/>
        </w:rPr>
      </w:pPr>
      <w:r w:rsidRPr="001622AE">
        <w:rPr>
          <w:rFonts w:ascii="Arial" w:hAnsi="Arial" w:cs="Arial"/>
          <w:sz w:val="24"/>
          <w:szCs w:val="24"/>
        </w:rPr>
        <w:t xml:space="preserve">Il GSE, che gestisce le aste di assegnazione delle EUA e fa parte della </w:t>
      </w:r>
      <w:r w:rsidRPr="001622AE">
        <w:rPr>
          <w:rFonts w:ascii="Arial" w:hAnsi="Arial" w:cs="Arial"/>
          <w:b/>
          <w:bCs/>
          <w:sz w:val="24"/>
          <w:szCs w:val="24"/>
        </w:rPr>
        <w:t>Piattaforma CAP</w:t>
      </w:r>
      <w:r w:rsidR="00324AE9">
        <w:rPr>
          <w:rFonts w:ascii="Arial" w:hAnsi="Arial" w:cs="Arial"/>
          <w:b/>
          <w:bCs/>
          <w:sz w:val="24"/>
          <w:szCs w:val="24"/>
        </w:rPr>
        <w:t xml:space="preserve">; </w:t>
      </w:r>
      <w:r w:rsidR="00324AE9" w:rsidRPr="003E4FD1">
        <w:rPr>
          <w:rFonts w:ascii="Arial" w:hAnsi="Arial" w:cs="Arial"/>
          <w:sz w:val="24"/>
          <w:szCs w:val="24"/>
        </w:rPr>
        <w:t xml:space="preserve">la piattaforma CAP è una piattaforma online che </w:t>
      </w:r>
      <w:r w:rsidR="00D1636C" w:rsidRPr="003E4FD1">
        <w:rPr>
          <w:rFonts w:ascii="Arial" w:hAnsi="Arial" w:cs="Arial"/>
          <w:sz w:val="24"/>
          <w:szCs w:val="24"/>
        </w:rPr>
        <w:t>riunisce tutte le piattaforme di scambio dei SM</w:t>
      </w:r>
      <w:r w:rsidR="003E4FD1">
        <w:rPr>
          <w:rStyle w:val="Rimandonotaapidipagina"/>
          <w:rFonts w:ascii="Arial" w:hAnsi="Arial" w:cs="Arial"/>
          <w:sz w:val="24"/>
          <w:szCs w:val="24"/>
        </w:rPr>
        <w:footnoteReference w:id="19"/>
      </w:r>
      <w:r w:rsidR="00BC5021">
        <w:rPr>
          <w:rFonts w:ascii="Arial" w:hAnsi="Arial" w:cs="Arial"/>
          <w:sz w:val="24"/>
          <w:szCs w:val="24"/>
        </w:rPr>
        <w:t xml:space="preserve"> delle EUA</w:t>
      </w:r>
      <w:r w:rsidRPr="001622AE">
        <w:rPr>
          <w:rFonts w:ascii="Arial" w:hAnsi="Arial" w:cs="Arial"/>
          <w:sz w:val="24"/>
          <w:szCs w:val="24"/>
        </w:rPr>
        <w:t>.</w:t>
      </w:r>
    </w:p>
    <w:p w14:paraId="70C129D4" w14:textId="0313A7FF" w:rsidR="00146EDA" w:rsidRDefault="00146EDA" w:rsidP="006332E1">
      <w:pPr>
        <w:pStyle w:val="Corpotesto"/>
        <w:ind w:right="45"/>
        <w:jc w:val="both"/>
        <w:rPr>
          <w:rFonts w:ascii="Arial" w:hAnsi="Arial" w:cs="Arial"/>
          <w:sz w:val="24"/>
          <w:szCs w:val="24"/>
        </w:rPr>
      </w:pPr>
    </w:p>
    <w:p w14:paraId="1C237063" w14:textId="59AFF1E0" w:rsidR="003154CD" w:rsidRPr="003154CD" w:rsidRDefault="003154CD" w:rsidP="006E3578">
      <w:pPr>
        <w:pStyle w:val="Corpotesto"/>
        <w:ind w:right="45" w:firstLine="567"/>
        <w:jc w:val="both"/>
        <w:rPr>
          <w:rFonts w:ascii="Arial" w:hAnsi="Arial" w:cs="Arial"/>
          <w:sz w:val="24"/>
          <w:szCs w:val="24"/>
        </w:rPr>
      </w:pPr>
      <w:r w:rsidRPr="003154CD">
        <w:rPr>
          <w:rFonts w:ascii="Arial" w:hAnsi="Arial" w:cs="Arial"/>
          <w:sz w:val="24"/>
          <w:szCs w:val="24"/>
        </w:rPr>
        <w:t>Ogni impresa obbligata a partecipare</w:t>
      </w:r>
      <w:r w:rsidR="0080096D">
        <w:rPr>
          <w:rFonts w:ascii="Arial" w:hAnsi="Arial" w:cs="Arial"/>
          <w:sz w:val="24"/>
          <w:szCs w:val="24"/>
        </w:rPr>
        <w:t xml:space="preserve"> al mercato EU ETS</w:t>
      </w:r>
      <w:r w:rsidRPr="003154CD">
        <w:rPr>
          <w:rFonts w:ascii="Arial" w:hAnsi="Arial" w:cs="Arial"/>
          <w:sz w:val="24"/>
          <w:szCs w:val="24"/>
        </w:rPr>
        <w:t xml:space="preserve"> deve aprire un conto presso il Registro ETS detenuto da ISPRA. Questo</w:t>
      </w:r>
      <w:r w:rsidR="0080096D">
        <w:rPr>
          <w:rFonts w:ascii="Arial" w:hAnsi="Arial" w:cs="Arial"/>
          <w:sz w:val="24"/>
          <w:szCs w:val="24"/>
        </w:rPr>
        <w:t xml:space="preserve"> conto</w:t>
      </w:r>
      <w:r w:rsidRPr="003154CD">
        <w:rPr>
          <w:rFonts w:ascii="Arial" w:hAnsi="Arial" w:cs="Arial"/>
          <w:sz w:val="24"/>
          <w:szCs w:val="24"/>
        </w:rPr>
        <w:t xml:space="preserve"> funziona con la stessa logica dei «conti di trading» finanziari</w:t>
      </w:r>
      <w:r w:rsidR="0080096D">
        <w:rPr>
          <w:rFonts w:ascii="Arial" w:hAnsi="Arial" w:cs="Arial"/>
          <w:sz w:val="24"/>
          <w:szCs w:val="24"/>
        </w:rPr>
        <w:t xml:space="preserve"> o dei conti titoli</w:t>
      </w:r>
      <w:r w:rsidRPr="003154CD">
        <w:rPr>
          <w:rFonts w:ascii="Arial" w:hAnsi="Arial" w:cs="Arial"/>
          <w:sz w:val="24"/>
          <w:szCs w:val="24"/>
        </w:rPr>
        <w:t xml:space="preserve">. </w:t>
      </w:r>
    </w:p>
    <w:p w14:paraId="5B6D7BEE" w14:textId="210022A9" w:rsidR="003154CD" w:rsidRPr="003154CD" w:rsidRDefault="003154CD" w:rsidP="006E3578">
      <w:pPr>
        <w:pStyle w:val="Corpotesto"/>
        <w:ind w:right="45" w:firstLine="567"/>
        <w:jc w:val="both"/>
        <w:rPr>
          <w:rFonts w:ascii="Arial" w:hAnsi="Arial" w:cs="Arial"/>
          <w:sz w:val="24"/>
          <w:szCs w:val="24"/>
        </w:rPr>
      </w:pPr>
      <w:r w:rsidRPr="003154CD">
        <w:rPr>
          <w:rFonts w:ascii="Arial" w:hAnsi="Arial" w:cs="Arial"/>
          <w:sz w:val="24"/>
          <w:szCs w:val="24"/>
        </w:rPr>
        <w:t xml:space="preserve">L’impresa è obbligata ad un monitoraggio annuale delle proprie emissioni, certificato da terza parte, che deve comunicare al gestore del registro (ISPRA) entro il mese di febbraio dell’anno successivo. Entro il 30 aprile dell’anno successivo, l’impresa deve restituire ad ISPRA un numero di EUA pari alle tonnellate che ha emesso durante l’anno. La mancata </w:t>
      </w:r>
      <w:r w:rsidR="00DB5CCF">
        <w:rPr>
          <w:rFonts w:ascii="Arial" w:hAnsi="Arial" w:cs="Arial"/>
          <w:sz w:val="24"/>
          <w:szCs w:val="24"/>
        </w:rPr>
        <w:t>restituzione di una quota d</w:t>
      </w:r>
      <w:r w:rsidR="00585EA1">
        <w:rPr>
          <w:rFonts w:ascii="Arial" w:hAnsi="Arial" w:cs="Arial"/>
          <w:sz w:val="24"/>
          <w:szCs w:val="24"/>
        </w:rPr>
        <w:t>elle</w:t>
      </w:r>
      <w:r w:rsidR="00DB5CCF">
        <w:rPr>
          <w:rFonts w:ascii="Arial" w:hAnsi="Arial" w:cs="Arial"/>
          <w:sz w:val="24"/>
          <w:szCs w:val="24"/>
        </w:rPr>
        <w:t xml:space="preserve"> EUA</w:t>
      </w:r>
      <w:r w:rsidRPr="003154CD">
        <w:rPr>
          <w:rFonts w:ascii="Arial" w:hAnsi="Arial" w:cs="Arial"/>
          <w:sz w:val="24"/>
          <w:szCs w:val="24"/>
        </w:rPr>
        <w:t xml:space="preserve"> comporta una sanzione di 100 euro per ogni CO2 ton non coperta da EUA. </w:t>
      </w:r>
    </w:p>
    <w:p w14:paraId="5A57AE29" w14:textId="091A2D6B" w:rsidR="0084456E" w:rsidRDefault="0084456E" w:rsidP="006332E1">
      <w:pPr>
        <w:pStyle w:val="Corpotesto"/>
        <w:ind w:right="45"/>
        <w:jc w:val="both"/>
        <w:rPr>
          <w:rFonts w:ascii="Arial" w:hAnsi="Arial" w:cs="Arial"/>
          <w:sz w:val="24"/>
          <w:szCs w:val="24"/>
        </w:rPr>
      </w:pPr>
    </w:p>
    <w:p w14:paraId="4C4D1964" w14:textId="386BFA38" w:rsidR="003154CD" w:rsidRDefault="003154CD" w:rsidP="006332E1">
      <w:pPr>
        <w:pStyle w:val="Corpotesto"/>
        <w:ind w:right="45"/>
        <w:jc w:val="both"/>
        <w:rPr>
          <w:rFonts w:ascii="Arial" w:hAnsi="Arial" w:cs="Arial"/>
          <w:sz w:val="24"/>
          <w:szCs w:val="24"/>
        </w:rPr>
      </w:pPr>
    </w:p>
    <w:p w14:paraId="216B0313" w14:textId="3D5D259F" w:rsidR="003154CD" w:rsidRDefault="003154CD" w:rsidP="003154CD">
      <w:pPr>
        <w:pStyle w:val="Corpotesto"/>
        <w:ind w:right="45"/>
        <w:jc w:val="center"/>
        <w:rPr>
          <w:rFonts w:ascii="Arial" w:hAnsi="Arial" w:cs="Arial"/>
          <w:sz w:val="24"/>
          <w:szCs w:val="24"/>
        </w:rPr>
      </w:pPr>
      <w:r w:rsidRPr="003154CD">
        <w:rPr>
          <w:rFonts w:ascii="Arial" w:hAnsi="Arial" w:cs="Arial"/>
          <w:noProof/>
          <w:sz w:val="24"/>
          <w:szCs w:val="24"/>
        </w:rPr>
        <w:drawing>
          <wp:inline distT="0" distB="0" distL="0" distR="0" wp14:anchorId="39792652" wp14:editId="77BFDE4B">
            <wp:extent cx="5603776" cy="1667123"/>
            <wp:effectExtent l="0" t="0" r="0" b="9525"/>
            <wp:docPr id="3" name="Immagine 9">
              <a:extLst xmlns:a="http://schemas.openxmlformats.org/drawingml/2006/main">
                <a:ext uri="{FF2B5EF4-FFF2-40B4-BE49-F238E27FC236}">
                  <a16:creationId xmlns:a16="http://schemas.microsoft.com/office/drawing/2014/main" id="{C25E7987-7A2B-4BFD-B498-1D35264D5B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9">
                      <a:extLst>
                        <a:ext uri="{FF2B5EF4-FFF2-40B4-BE49-F238E27FC236}">
                          <a16:creationId xmlns:a16="http://schemas.microsoft.com/office/drawing/2014/main" id="{C25E7987-7A2B-4BFD-B498-1D35264D5B3A}"/>
                        </a:ext>
                      </a:extLst>
                    </pic:cNvPr>
                    <pic:cNvPicPr>
                      <a:picLocks noChangeAspect="1"/>
                    </pic:cNvPicPr>
                  </pic:nvPicPr>
                  <pic:blipFill>
                    <a:blip r:embed="rId9"/>
                    <a:stretch>
                      <a:fillRect/>
                    </a:stretch>
                  </pic:blipFill>
                  <pic:spPr>
                    <a:xfrm>
                      <a:off x="0" y="0"/>
                      <a:ext cx="5603776" cy="1667123"/>
                    </a:xfrm>
                    <a:prstGeom prst="rect">
                      <a:avLst/>
                    </a:prstGeom>
                  </pic:spPr>
                </pic:pic>
              </a:graphicData>
            </a:graphic>
          </wp:inline>
        </w:drawing>
      </w:r>
    </w:p>
    <w:p w14:paraId="793D5589" w14:textId="3B956D84" w:rsidR="00DB5CCF" w:rsidRPr="00935CF6" w:rsidRDefault="00DB5CCF" w:rsidP="00DB5CCF">
      <w:pPr>
        <w:pStyle w:val="Corpotesto"/>
        <w:ind w:right="45" w:firstLine="567"/>
        <w:jc w:val="center"/>
        <w:rPr>
          <w:rFonts w:ascii="Arial" w:hAnsi="Arial" w:cs="Arial"/>
          <w:sz w:val="20"/>
          <w:szCs w:val="20"/>
        </w:rPr>
      </w:pPr>
      <w:r w:rsidRPr="00935CF6">
        <w:rPr>
          <w:rFonts w:ascii="Arial" w:hAnsi="Arial" w:cs="Arial"/>
          <w:sz w:val="20"/>
          <w:szCs w:val="20"/>
        </w:rPr>
        <w:t xml:space="preserve">Fig. </w:t>
      </w:r>
      <w:r>
        <w:rPr>
          <w:rFonts w:ascii="Arial" w:hAnsi="Arial" w:cs="Arial"/>
          <w:sz w:val="20"/>
          <w:szCs w:val="20"/>
        </w:rPr>
        <w:t>2</w:t>
      </w:r>
      <w:r w:rsidRPr="00935CF6">
        <w:rPr>
          <w:rFonts w:ascii="Arial" w:hAnsi="Arial" w:cs="Arial"/>
          <w:sz w:val="20"/>
          <w:szCs w:val="20"/>
        </w:rPr>
        <w:t xml:space="preserve"> – </w:t>
      </w:r>
      <w:r w:rsidR="00171D83">
        <w:rPr>
          <w:rFonts w:ascii="Arial" w:hAnsi="Arial" w:cs="Arial"/>
          <w:sz w:val="20"/>
          <w:szCs w:val="20"/>
        </w:rPr>
        <w:t>Pr</w:t>
      </w:r>
      <w:r w:rsidR="007C3286">
        <w:rPr>
          <w:rFonts w:ascii="Arial" w:hAnsi="Arial" w:cs="Arial"/>
          <w:sz w:val="20"/>
          <w:szCs w:val="20"/>
        </w:rPr>
        <w:t>ocedure che devono seguire le imprese sul mercato</w:t>
      </w:r>
      <w:r w:rsidRPr="00935CF6">
        <w:rPr>
          <w:rFonts w:ascii="Arial" w:hAnsi="Arial" w:cs="Arial"/>
          <w:sz w:val="20"/>
          <w:szCs w:val="20"/>
        </w:rPr>
        <w:t xml:space="preserve"> EU ETS (Fonte: ISPRA)</w:t>
      </w:r>
    </w:p>
    <w:p w14:paraId="39C591E9" w14:textId="6B7B7108" w:rsidR="003154CD" w:rsidRDefault="003154CD" w:rsidP="006332E1">
      <w:pPr>
        <w:pStyle w:val="Corpotesto"/>
        <w:ind w:right="45"/>
        <w:jc w:val="both"/>
        <w:rPr>
          <w:rFonts w:ascii="Arial" w:hAnsi="Arial" w:cs="Arial"/>
          <w:sz w:val="24"/>
          <w:szCs w:val="24"/>
        </w:rPr>
      </w:pPr>
    </w:p>
    <w:p w14:paraId="79AC347E" w14:textId="5E66B7E3" w:rsidR="003154CD" w:rsidRDefault="003154CD" w:rsidP="006332E1">
      <w:pPr>
        <w:pStyle w:val="Corpotesto"/>
        <w:ind w:right="45"/>
        <w:jc w:val="both"/>
        <w:rPr>
          <w:rFonts w:ascii="Arial" w:hAnsi="Arial" w:cs="Arial"/>
          <w:sz w:val="24"/>
          <w:szCs w:val="24"/>
        </w:rPr>
      </w:pPr>
    </w:p>
    <w:p w14:paraId="14FC64C6" w14:textId="5F96A5F5" w:rsidR="00EA268E" w:rsidRPr="00EA268E" w:rsidRDefault="00EA268E" w:rsidP="009E6462">
      <w:pPr>
        <w:pStyle w:val="Corpotesto"/>
        <w:ind w:right="45" w:firstLine="567"/>
        <w:jc w:val="both"/>
        <w:rPr>
          <w:rFonts w:ascii="Arial" w:hAnsi="Arial" w:cs="Arial"/>
          <w:sz w:val="24"/>
          <w:szCs w:val="24"/>
        </w:rPr>
      </w:pPr>
      <w:r w:rsidRPr="00EA268E">
        <w:rPr>
          <w:rFonts w:ascii="Arial" w:hAnsi="Arial" w:cs="Arial"/>
          <w:sz w:val="24"/>
          <w:szCs w:val="24"/>
        </w:rPr>
        <w:t>Ogni impresa che deve acquis</w:t>
      </w:r>
      <w:r w:rsidR="007C3286">
        <w:rPr>
          <w:rFonts w:ascii="Arial" w:hAnsi="Arial" w:cs="Arial"/>
          <w:sz w:val="24"/>
          <w:szCs w:val="24"/>
        </w:rPr>
        <w:t>ta</w:t>
      </w:r>
      <w:r w:rsidRPr="00EA268E">
        <w:rPr>
          <w:rFonts w:ascii="Arial" w:hAnsi="Arial" w:cs="Arial"/>
          <w:sz w:val="24"/>
          <w:szCs w:val="24"/>
        </w:rPr>
        <w:t xml:space="preserve">re </w:t>
      </w:r>
      <w:r w:rsidR="007C3286">
        <w:rPr>
          <w:rFonts w:ascii="Arial" w:hAnsi="Arial" w:cs="Arial"/>
          <w:sz w:val="24"/>
          <w:szCs w:val="24"/>
        </w:rPr>
        <w:t xml:space="preserve">delle </w:t>
      </w:r>
      <w:r w:rsidRPr="00EA268E">
        <w:rPr>
          <w:rFonts w:ascii="Arial" w:hAnsi="Arial" w:cs="Arial"/>
          <w:sz w:val="24"/>
          <w:szCs w:val="24"/>
        </w:rPr>
        <w:t>EUA lo può fare in diversi modi: da altre imprese, da traders</w:t>
      </w:r>
      <w:r w:rsidR="00353548">
        <w:rPr>
          <w:rFonts w:ascii="Arial" w:hAnsi="Arial" w:cs="Arial"/>
          <w:sz w:val="24"/>
          <w:szCs w:val="24"/>
        </w:rPr>
        <w:t xml:space="preserve"> o</w:t>
      </w:r>
      <w:r w:rsidRPr="00EA268E">
        <w:rPr>
          <w:rFonts w:ascii="Arial" w:hAnsi="Arial" w:cs="Arial"/>
          <w:sz w:val="24"/>
          <w:szCs w:val="24"/>
        </w:rPr>
        <w:t xml:space="preserve"> mediante le aste</w:t>
      </w:r>
      <w:r w:rsidR="00353548">
        <w:rPr>
          <w:rFonts w:ascii="Arial" w:hAnsi="Arial" w:cs="Arial"/>
          <w:sz w:val="24"/>
          <w:szCs w:val="24"/>
        </w:rPr>
        <w:t xml:space="preserve">, </w:t>
      </w:r>
      <w:r w:rsidR="0041487D">
        <w:rPr>
          <w:rFonts w:ascii="Arial" w:hAnsi="Arial" w:cs="Arial"/>
          <w:sz w:val="24"/>
          <w:szCs w:val="24"/>
        </w:rPr>
        <w:t>m</w:t>
      </w:r>
      <w:r w:rsidRPr="00EA268E">
        <w:rPr>
          <w:rFonts w:ascii="Arial" w:hAnsi="Arial" w:cs="Arial"/>
          <w:sz w:val="24"/>
          <w:szCs w:val="24"/>
        </w:rPr>
        <w:t>a può anche risparmiarle gli anni precedenti per i successivi (banking). Non è consentito «prendere a prestito EUA» dal futuro (</w:t>
      </w:r>
      <w:proofErr w:type="spellStart"/>
      <w:r w:rsidRPr="00EA268E">
        <w:rPr>
          <w:rFonts w:ascii="Arial" w:hAnsi="Arial" w:cs="Arial"/>
          <w:sz w:val="24"/>
          <w:szCs w:val="24"/>
        </w:rPr>
        <w:t>borrowing</w:t>
      </w:r>
      <w:proofErr w:type="spellEnd"/>
      <w:r w:rsidRPr="00EA268E">
        <w:rPr>
          <w:rFonts w:ascii="Arial" w:hAnsi="Arial" w:cs="Arial"/>
          <w:sz w:val="24"/>
          <w:szCs w:val="24"/>
        </w:rPr>
        <w:t xml:space="preserve">). </w:t>
      </w:r>
    </w:p>
    <w:p w14:paraId="31B2C3D1" w14:textId="77777777" w:rsidR="00EA268E" w:rsidRPr="00EA268E" w:rsidRDefault="00EA268E" w:rsidP="009E6462">
      <w:pPr>
        <w:pStyle w:val="Corpotesto"/>
        <w:ind w:right="45" w:firstLine="567"/>
        <w:jc w:val="both"/>
        <w:rPr>
          <w:rFonts w:ascii="Arial" w:hAnsi="Arial" w:cs="Arial"/>
          <w:sz w:val="24"/>
          <w:szCs w:val="24"/>
        </w:rPr>
      </w:pPr>
      <w:r w:rsidRPr="00EA268E">
        <w:rPr>
          <w:rFonts w:ascii="Arial" w:hAnsi="Arial" w:cs="Arial"/>
          <w:sz w:val="24"/>
          <w:szCs w:val="24"/>
        </w:rPr>
        <w:t>Esistono una serie di meccanismi di compensazione per evitare le distorsioni di mercato. Tra questi, due dei più importati sono:</w:t>
      </w:r>
    </w:p>
    <w:p w14:paraId="320EF222" w14:textId="7C1C7A61" w:rsidR="00EA268E" w:rsidRPr="00EA268E" w:rsidRDefault="00EA268E" w:rsidP="00076117">
      <w:pPr>
        <w:pStyle w:val="Corpotesto"/>
        <w:numPr>
          <w:ilvl w:val="0"/>
          <w:numId w:val="12"/>
        </w:numPr>
        <w:ind w:right="45"/>
        <w:jc w:val="both"/>
        <w:rPr>
          <w:rFonts w:ascii="Arial" w:hAnsi="Arial" w:cs="Arial"/>
          <w:sz w:val="24"/>
          <w:szCs w:val="24"/>
        </w:rPr>
      </w:pPr>
      <w:r w:rsidRPr="00EA268E">
        <w:rPr>
          <w:rFonts w:ascii="Arial" w:hAnsi="Arial" w:cs="Arial"/>
          <w:sz w:val="24"/>
          <w:szCs w:val="24"/>
        </w:rPr>
        <w:t xml:space="preserve">la concessione gratuita del 100% delle quote di emissione per quelle imprese </w:t>
      </w:r>
      <w:r w:rsidR="00353548">
        <w:rPr>
          <w:rFonts w:ascii="Arial" w:hAnsi="Arial" w:cs="Arial"/>
          <w:sz w:val="24"/>
          <w:szCs w:val="24"/>
        </w:rPr>
        <w:t xml:space="preserve">che </w:t>
      </w:r>
      <w:r w:rsidRPr="00EA268E">
        <w:rPr>
          <w:rFonts w:ascii="Arial" w:hAnsi="Arial" w:cs="Arial"/>
          <w:sz w:val="24"/>
          <w:szCs w:val="24"/>
        </w:rPr>
        <w:t>corrono il rischio di delocalizzazione a causa dei costi indotti dal mercato ETS (sono individuati oltre 170 settori e sottosettori produttivi con queste agevolazioni);</w:t>
      </w:r>
    </w:p>
    <w:p w14:paraId="026BC797" w14:textId="77777777" w:rsidR="00EA268E" w:rsidRPr="00EA268E" w:rsidRDefault="00EA268E" w:rsidP="00076117">
      <w:pPr>
        <w:pStyle w:val="Corpotesto"/>
        <w:numPr>
          <w:ilvl w:val="0"/>
          <w:numId w:val="12"/>
        </w:numPr>
        <w:ind w:right="45"/>
        <w:jc w:val="both"/>
        <w:rPr>
          <w:rFonts w:ascii="Arial" w:hAnsi="Arial" w:cs="Arial"/>
          <w:sz w:val="24"/>
          <w:szCs w:val="24"/>
        </w:rPr>
      </w:pPr>
      <w:r w:rsidRPr="00EA268E">
        <w:rPr>
          <w:rFonts w:ascii="Arial" w:hAnsi="Arial" w:cs="Arial"/>
          <w:sz w:val="24"/>
          <w:szCs w:val="24"/>
        </w:rPr>
        <w:t xml:space="preserve">l’assegnazione gratuita di EUA quando vi sia il rischio di carbon leakage, ovvero la rilocalizzazione delle emissioni di carbonio.  </w:t>
      </w:r>
    </w:p>
    <w:p w14:paraId="25A971E2" w14:textId="7082AC96" w:rsidR="003154CD" w:rsidRDefault="003154CD" w:rsidP="006332E1">
      <w:pPr>
        <w:pStyle w:val="Corpotesto"/>
        <w:ind w:right="45"/>
        <w:jc w:val="both"/>
        <w:rPr>
          <w:rFonts w:ascii="Arial" w:hAnsi="Arial" w:cs="Arial"/>
          <w:sz w:val="24"/>
          <w:szCs w:val="24"/>
        </w:rPr>
      </w:pPr>
    </w:p>
    <w:p w14:paraId="2A564A44" w14:textId="0F925BC2" w:rsidR="007C3286" w:rsidRDefault="007C3286" w:rsidP="000757E9">
      <w:pPr>
        <w:pStyle w:val="Corpotesto"/>
        <w:ind w:right="45" w:firstLine="567"/>
        <w:jc w:val="both"/>
        <w:rPr>
          <w:rFonts w:ascii="Arial" w:hAnsi="Arial" w:cs="Arial"/>
          <w:sz w:val="24"/>
          <w:szCs w:val="24"/>
        </w:rPr>
      </w:pPr>
      <w:r w:rsidRPr="00EA268E">
        <w:rPr>
          <w:rFonts w:ascii="Arial" w:hAnsi="Arial" w:cs="Arial"/>
          <w:sz w:val="24"/>
          <w:szCs w:val="24"/>
        </w:rPr>
        <w:t>Dal 2021 l’allocazione gratuita delle EUA si è drasticamente ridotta</w:t>
      </w:r>
      <w:r w:rsidR="000757E9">
        <w:rPr>
          <w:rFonts w:ascii="Arial" w:hAnsi="Arial" w:cs="Arial"/>
          <w:sz w:val="24"/>
          <w:szCs w:val="24"/>
        </w:rPr>
        <w:t xml:space="preserve"> in quanto </w:t>
      </w:r>
      <w:r w:rsidR="00096150">
        <w:rPr>
          <w:rFonts w:ascii="Arial" w:hAnsi="Arial" w:cs="Arial"/>
          <w:sz w:val="24"/>
          <w:szCs w:val="24"/>
        </w:rPr>
        <w:t>è entrato in vigore un meccani</w:t>
      </w:r>
      <w:r w:rsidR="00292612">
        <w:rPr>
          <w:rFonts w:ascii="Arial" w:hAnsi="Arial" w:cs="Arial"/>
          <w:sz w:val="24"/>
          <w:szCs w:val="24"/>
        </w:rPr>
        <w:t>s</w:t>
      </w:r>
      <w:r w:rsidR="00096150">
        <w:rPr>
          <w:rFonts w:ascii="Arial" w:hAnsi="Arial" w:cs="Arial"/>
          <w:sz w:val="24"/>
          <w:szCs w:val="24"/>
        </w:rPr>
        <w:t xml:space="preserve">mo </w:t>
      </w:r>
      <w:r w:rsidR="00D40964">
        <w:rPr>
          <w:rFonts w:ascii="Arial" w:hAnsi="Arial" w:cs="Arial"/>
          <w:sz w:val="24"/>
          <w:szCs w:val="24"/>
        </w:rPr>
        <w:t>di riduzione progressiva delle quote</w:t>
      </w:r>
      <w:r w:rsidR="00292612">
        <w:rPr>
          <w:rFonts w:ascii="Arial" w:hAnsi="Arial" w:cs="Arial"/>
          <w:sz w:val="24"/>
          <w:szCs w:val="24"/>
        </w:rPr>
        <w:t>, che ha l’obbiettivo di sostenere i prezzi di mercato (</w:t>
      </w:r>
      <w:r w:rsidR="00292612" w:rsidRPr="00292612">
        <w:rPr>
          <w:rFonts w:ascii="Arial" w:hAnsi="Arial" w:cs="Arial"/>
          <w:sz w:val="24"/>
          <w:szCs w:val="24"/>
        </w:rPr>
        <w:t>Direttiva UE 2018/410</w:t>
      </w:r>
      <w:r w:rsidR="00292612">
        <w:rPr>
          <w:rFonts w:ascii="Arial" w:hAnsi="Arial" w:cs="Arial"/>
          <w:sz w:val="24"/>
          <w:szCs w:val="24"/>
        </w:rPr>
        <w:t>).</w:t>
      </w:r>
      <w:r w:rsidR="00724956">
        <w:rPr>
          <w:rFonts w:ascii="Arial" w:hAnsi="Arial" w:cs="Arial"/>
          <w:sz w:val="24"/>
          <w:szCs w:val="24"/>
        </w:rPr>
        <w:t xml:space="preserve"> In virtù di questo meccanismo, n</w:t>
      </w:r>
      <w:r w:rsidRPr="00EA268E">
        <w:rPr>
          <w:rFonts w:ascii="Arial" w:hAnsi="Arial" w:cs="Arial"/>
          <w:sz w:val="24"/>
          <w:szCs w:val="24"/>
        </w:rPr>
        <w:t>el 2030, anno di conclusione della quarta fase</w:t>
      </w:r>
      <w:r w:rsidR="00724956">
        <w:rPr>
          <w:rFonts w:ascii="Arial" w:hAnsi="Arial" w:cs="Arial"/>
          <w:sz w:val="24"/>
          <w:szCs w:val="24"/>
        </w:rPr>
        <w:t xml:space="preserve"> de</w:t>
      </w:r>
      <w:r w:rsidR="00DD5BA9">
        <w:rPr>
          <w:rFonts w:ascii="Arial" w:hAnsi="Arial" w:cs="Arial"/>
          <w:sz w:val="24"/>
          <w:szCs w:val="24"/>
        </w:rPr>
        <w:t>llo sviluppo del mercato EU ETS</w:t>
      </w:r>
      <w:r w:rsidRPr="00EA268E">
        <w:rPr>
          <w:rFonts w:ascii="Arial" w:hAnsi="Arial" w:cs="Arial"/>
          <w:sz w:val="24"/>
          <w:szCs w:val="24"/>
        </w:rPr>
        <w:t>, le quote gratuite di EUA per le imprese saranno fortemente ridotte</w:t>
      </w:r>
      <w:r w:rsidR="00DD5BA9">
        <w:rPr>
          <w:rStyle w:val="Rimandonotaapidipagina"/>
          <w:rFonts w:ascii="Arial" w:hAnsi="Arial" w:cs="Arial"/>
          <w:sz w:val="24"/>
          <w:szCs w:val="24"/>
        </w:rPr>
        <w:footnoteReference w:id="20"/>
      </w:r>
      <w:r w:rsidR="005F6DDA">
        <w:rPr>
          <w:rFonts w:ascii="Arial" w:hAnsi="Arial" w:cs="Arial"/>
          <w:sz w:val="24"/>
          <w:szCs w:val="24"/>
        </w:rPr>
        <w:t xml:space="preserve"> e si ipotizza che il prezzo delle EUA salirà notevolmente, come </w:t>
      </w:r>
      <w:r w:rsidR="002E133E">
        <w:rPr>
          <w:rFonts w:ascii="Arial" w:hAnsi="Arial" w:cs="Arial"/>
          <w:sz w:val="24"/>
          <w:szCs w:val="24"/>
        </w:rPr>
        <w:t xml:space="preserve">sta già accadendo </w:t>
      </w:r>
      <w:r w:rsidR="001A3D72">
        <w:rPr>
          <w:rFonts w:ascii="Arial" w:hAnsi="Arial" w:cs="Arial"/>
          <w:sz w:val="24"/>
          <w:szCs w:val="24"/>
        </w:rPr>
        <w:t>all’inizio del 2021</w:t>
      </w:r>
      <w:r w:rsidRPr="00EA268E">
        <w:rPr>
          <w:rFonts w:ascii="Arial" w:hAnsi="Arial" w:cs="Arial"/>
          <w:sz w:val="24"/>
          <w:szCs w:val="24"/>
        </w:rPr>
        <w:t xml:space="preserve">. </w:t>
      </w:r>
    </w:p>
    <w:p w14:paraId="0DFA9108" w14:textId="7CD6EA14" w:rsidR="000B3CD6" w:rsidRPr="000B3CD6" w:rsidRDefault="00917AAC" w:rsidP="000A71C5">
      <w:pPr>
        <w:pStyle w:val="Corpotesto"/>
        <w:ind w:right="45" w:firstLine="567"/>
        <w:jc w:val="both"/>
        <w:rPr>
          <w:rFonts w:ascii="Arial" w:hAnsi="Arial" w:cs="Arial"/>
          <w:sz w:val="24"/>
          <w:szCs w:val="24"/>
        </w:rPr>
      </w:pPr>
      <w:r>
        <w:rPr>
          <w:rFonts w:ascii="Arial" w:hAnsi="Arial" w:cs="Arial"/>
          <w:sz w:val="24"/>
          <w:szCs w:val="24"/>
        </w:rPr>
        <w:t xml:space="preserve">I proventi del mercato EU ETS sono destinati </w:t>
      </w:r>
      <w:r w:rsidR="006F123E">
        <w:rPr>
          <w:rFonts w:ascii="Arial" w:hAnsi="Arial" w:cs="Arial"/>
          <w:sz w:val="24"/>
          <w:szCs w:val="24"/>
        </w:rPr>
        <w:t>a creare un fondo per l’innovazione dei processi industriali a basse emissioni</w:t>
      </w:r>
      <w:r w:rsidR="000A71C5">
        <w:rPr>
          <w:rFonts w:ascii="Arial" w:hAnsi="Arial" w:cs="Arial"/>
          <w:sz w:val="24"/>
          <w:szCs w:val="24"/>
        </w:rPr>
        <w:t>, riducendo così la necessità di dover acquistare EUA</w:t>
      </w:r>
      <w:r w:rsidR="000002F4">
        <w:rPr>
          <w:rFonts w:ascii="Arial" w:hAnsi="Arial" w:cs="Arial"/>
          <w:sz w:val="24"/>
          <w:szCs w:val="24"/>
        </w:rPr>
        <w:t xml:space="preserve"> da parte delle imprese </w:t>
      </w:r>
      <w:r w:rsidR="00EF7D05">
        <w:rPr>
          <w:rFonts w:ascii="Arial" w:hAnsi="Arial" w:cs="Arial"/>
          <w:sz w:val="24"/>
          <w:szCs w:val="24"/>
        </w:rPr>
        <w:t>obbligate a partecipare al mercato EU ETS</w:t>
      </w:r>
      <w:r w:rsidR="006F123E">
        <w:rPr>
          <w:rFonts w:ascii="Arial" w:hAnsi="Arial" w:cs="Arial"/>
          <w:sz w:val="24"/>
          <w:szCs w:val="24"/>
        </w:rPr>
        <w:t xml:space="preserve">. </w:t>
      </w:r>
      <w:r w:rsidR="000B3CD6" w:rsidRPr="000B3CD6">
        <w:rPr>
          <w:rFonts w:ascii="Arial" w:hAnsi="Arial" w:cs="Arial"/>
          <w:sz w:val="24"/>
          <w:szCs w:val="24"/>
        </w:rPr>
        <w:t>Il gestore delle ASTE (in Italia GSE) restituisce all’ERARIO i proventi, salvo una piccola quota utilizzata per ripianare i costi di gestione. Almeno il 50% dei fondi ottenuti vengono impiegati in progetti di innovazione per ridurre le emissioni</w:t>
      </w:r>
      <w:r w:rsidR="003B5407">
        <w:rPr>
          <w:rStyle w:val="Rimandonotaapidipagina"/>
          <w:rFonts w:ascii="Arial" w:hAnsi="Arial" w:cs="Arial"/>
          <w:sz w:val="24"/>
          <w:szCs w:val="24"/>
        </w:rPr>
        <w:footnoteReference w:id="21"/>
      </w:r>
      <w:r w:rsidR="000B3CD6" w:rsidRPr="000B3CD6">
        <w:rPr>
          <w:rFonts w:ascii="Arial" w:hAnsi="Arial" w:cs="Arial"/>
          <w:sz w:val="24"/>
          <w:szCs w:val="24"/>
        </w:rPr>
        <w:t xml:space="preserve">. </w:t>
      </w:r>
    </w:p>
    <w:p w14:paraId="145E5ADA" w14:textId="713B4802" w:rsidR="003154CD" w:rsidRDefault="003154CD" w:rsidP="006332E1">
      <w:pPr>
        <w:pStyle w:val="Corpotesto"/>
        <w:ind w:right="45"/>
        <w:jc w:val="both"/>
        <w:rPr>
          <w:rFonts w:ascii="Arial" w:hAnsi="Arial" w:cs="Arial"/>
          <w:sz w:val="24"/>
          <w:szCs w:val="24"/>
        </w:rPr>
      </w:pPr>
    </w:p>
    <w:p w14:paraId="0A465A8F" w14:textId="0D5292C4" w:rsidR="000B3CD6" w:rsidRPr="00901E65" w:rsidRDefault="000A71C5" w:rsidP="006332E1">
      <w:pPr>
        <w:pStyle w:val="Corpotesto"/>
        <w:ind w:right="45"/>
        <w:jc w:val="both"/>
        <w:rPr>
          <w:rFonts w:ascii="Arial" w:hAnsi="Arial" w:cs="Arial"/>
          <w:b/>
          <w:bCs/>
          <w:sz w:val="24"/>
          <w:szCs w:val="24"/>
        </w:rPr>
      </w:pPr>
      <w:r w:rsidRPr="00901E65">
        <w:rPr>
          <w:rFonts w:ascii="Arial" w:hAnsi="Arial" w:cs="Arial"/>
          <w:b/>
          <w:bCs/>
          <w:sz w:val="24"/>
          <w:szCs w:val="24"/>
        </w:rPr>
        <w:t xml:space="preserve">Tabella </w:t>
      </w:r>
      <w:r w:rsidR="003B5407" w:rsidRPr="00901E65">
        <w:rPr>
          <w:rFonts w:ascii="Arial" w:hAnsi="Arial" w:cs="Arial"/>
          <w:b/>
          <w:bCs/>
          <w:sz w:val="24"/>
          <w:szCs w:val="24"/>
        </w:rPr>
        <w:t xml:space="preserve">1 </w:t>
      </w:r>
      <w:r w:rsidR="00901E65" w:rsidRPr="00901E65">
        <w:rPr>
          <w:rFonts w:ascii="Arial" w:hAnsi="Arial" w:cs="Arial"/>
          <w:b/>
          <w:bCs/>
          <w:sz w:val="24"/>
          <w:szCs w:val="24"/>
        </w:rPr>
        <w:t>–</w:t>
      </w:r>
      <w:r w:rsidR="003B5407" w:rsidRPr="00901E65">
        <w:rPr>
          <w:rFonts w:ascii="Arial" w:hAnsi="Arial" w:cs="Arial"/>
          <w:b/>
          <w:bCs/>
          <w:sz w:val="24"/>
          <w:szCs w:val="24"/>
        </w:rPr>
        <w:t xml:space="preserve"> </w:t>
      </w:r>
      <w:r w:rsidR="00901E65" w:rsidRPr="00901E65">
        <w:rPr>
          <w:rFonts w:ascii="Arial" w:hAnsi="Arial" w:cs="Arial"/>
          <w:b/>
          <w:bCs/>
          <w:sz w:val="24"/>
          <w:szCs w:val="24"/>
        </w:rPr>
        <w:t>Elenco delle principali normative UE e italiane sul mercato EU ETS</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972"/>
        <w:gridCol w:w="4819"/>
      </w:tblGrid>
      <w:tr w:rsidR="001249E6" w:rsidRPr="001249E6" w14:paraId="00254710" w14:textId="77777777" w:rsidTr="00EA211C">
        <w:trPr>
          <w:trHeight w:val="314"/>
        </w:trPr>
        <w:tc>
          <w:tcPr>
            <w:tcW w:w="4972" w:type="dxa"/>
            <w:shd w:val="clear" w:color="auto" w:fill="auto"/>
            <w:tcMar>
              <w:top w:w="10" w:type="dxa"/>
              <w:left w:w="10" w:type="dxa"/>
              <w:bottom w:w="10" w:type="dxa"/>
              <w:right w:w="10" w:type="dxa"/>
            </w:tcMar>
            <w:vAlign w:val="center"/>
            <w:hideMark/>
          </w:tcPr>
          <w:p w14:paraId="50CA7009" w14:textId="3792D420" w:rsidR="001249E6" w:rsidRPr="00901E65" w:rsidRDefault="00901E65" w:rsidP="001249E6">
            <w:pPr>
              <w:pStyle w:val="Corpotesto"/>
              <w:ind w:right="45"/>
              <w:jc w:val="center"/>
              <w:rPr>
                <w:rFonts w:ascii="Arial" w:hAnsi="Arial" w:cs="Arial"/>
                <w:b/>
                <w:bCs/>
                <w:sz w:val="24"/>
                <w:szCs w:val="24"/>
              </w:rPr>
            </w:pPr>
            <w:r w:rsidRPr="00901E65">
              <w:rPr>
                <w:rFonts w:ascii="Arial" w:hAnsi="Arial" w:cs="Arial"/>
                <w:b/>
                <w:bCs/>
                <w:sz w:val="24"/>
                <w:szCs w:val="24"/>
              </w:rPr>
              <w:t>UE</w:t>
            </w:r>
          </w:p>
        </w:tc>
        <w:tc>
          <w:tcPr>
            <w:tcW w:w="4819" w:type="dxa"/>
            <w:shd w:val="clear" w:color="auto" w:fill="auto"/>
            <w:tcMar>
              <w:top w:w="10" w:type="dxa"/>
              <w:left w:w="10" w:type="dxa"/>
              <w:bottom w:w="10" w:type="dxa"/>
              <w:right w:w="10" w:type="dxa"/>
            </w:tcMar>
            <w:vAlign w:val="center"/>
            <w:hideMark/>
          </w:tcPr>
          <w:p w14:paraId="0138EE94" w14:textId="77777777" w:rsidR="001249E6" w:rsidRPr="001249E6" w:rsidRDefault="001249E6" w:rsidP="001249E6">
            <w:pPr>
              <w:pStyle w:val="Corpotesto"/>
              <w:ind w:right="45"/>
              <w:jc w:val="center"/>
              <w:rPr>
                <w:rFonts w:ascii="Arial" w:hAnsi="Arial" w:cs="Arial"/>
                <w:sz w:val="24"/>
                <w:szCs w:val="24"/>
              </w:rPr>
            </w:pPr>
            <w:r w:rsidRPr="001249E6">
              <w:rPr>
                <w:rFonts w:ascii="Arial" w:hAnsi="Arial" w:cs="Arial"/>
                <w:b/>
                <w:bCs/>
                <w:sz w:val="24"/>
                <w:szCs w:val="24"/>
              </w:rPr>
              <w:t xml:space="preserve">Recepimento legislazione </w:t>
            </w:r>
            <w:proofErr w:type="gramStart"/>
            <w:r w:rsidRPr="001249E6">
              <w:rPr>
                <w:rFonts w:ascii="Arial" w:hAnsi="Arial" w:cs="Arial"/>
                <w:b/>
                <w:bCs/>
                <w:sz w:val="24"/>
                <w:szCs w:val="24"/>
              </w:rPr>
              <w:t>Italiana</w:t>
            </w:r>
            <w:proofErr w:type="gramEnd"/>
          </w:p>
        </w:tc>
      </w:tr>
      <w:tr w:rsidR="001249E6" w:rsidRPr="00901E65" w14:paraId="0C7FDC0C" w14:textId="77777777" w:rsidTr="00EA211C">
        <w:trPr>
          <w:trHeight w:val="264"/>
        </w:trPr>
        <w:tc>
          <w:tcPr>
            <w:tcW w:w="4972" w:type="dxa"/>
            <w:shd w:val="clear" w:color="auto" w:fill="auto"/>
            <w:tcMar>
              <w:top w:w="10" w:type="dxa"/>
              <w:left w:w="10" w:type="dxa"/>
              <w:bottom w:w="10" w:type="dxa"/>
              <w:right w:w="10" w:type="dxa"/>
            </w:tcMar>
            <w:vAlign w:val="center"/>
            <w:hideMark/>
          </w:tcPr>
          <w:p w14:paraId="3123D322" w14:textId="40F50CE1" w:rsidR="001249E6" w:rsidRPr="00901E65" w:rsidRDefault="001249E6" w:rsidP="001249E6">
            <w:pPr>
              <w:pStyle w:val="Corpotesto"/>
              <w:ind w:right="45"/>
              <w:jc w:val="both"/>
              <w:rPr>
                <w:rFonts w:ascii="Arial" w:hAnsi="Arial" w:cs="Arial"/>
                <w:sz w:val="22"/>
                <w:szCs w:val="22"/>
              </w:rPr>
            </w:pPr>
            <w:r w:rsidRPr="00901E65">
              <w:rPr>
                <w:rFonts w:ascii="Arial" w:hAnsi="Arial" w:cs="Arial"/>
                <w:b/>
                <w:bCs/>
                <w:sz w:val="22"/>
                <w:szCs w:val="22"/>
              </w:rPr>
              <w:t>Direttiva 2003/87/CE</w:t>
            </w:r>
            <w:r w:rsidRPr="00901E65">
              <w:rPr>
                <w:rFonts w:ascii="Arial" w:hAnsi="Arial" w:cs="Arial"/>
                <w:sz w:val="22"/>
                <w:szCs w:val="22"/>
              </w:rPr>
              <w:t xml:space="preserve"> del Parlamento europeo e del Consiglio che istituisce un sistema per lo scambio di quote di emissioni dei gas a effetto serra nella Comunità e che modifica la direttiva 96/61/CE del Consiglio</w:t>
            </w:r>
          </w:p>
        </w:tc>
        <w:tc>
          <w:tcPr>
            <w:tcW w:w="4819" w:type="dxa"/>
            <w:shd w:val="clear" w:color="auto" w:fill="auto"/>
            <w:tcMar>
              <w:top w:w="10" w:type="dxa"/>
              <w:left w:w="10" w:type="dxa"/>
              <w:bottom w:w="10" w:type="dxa"/>
              <w:right w:w="10" w:type="dxa"/>
            </w:tcMar>
            <w:vAlign w:val="center"/>
            <w:hideMark/>
          </w:tcPr>
          <w:p w14:paraId="466785AB" w14:textId="7DB866B5" w:rsidR="001249E6" w:rsidRPr="00901E65" w:rsidRDefault="001249E6" w:rsidP="001249E6">
            <w:pPr>
              <w:pStyle w:val="Corpotesto"/>
              <w:ind w:right="45"/>
              <w:jc w:val="both"/>
              <w:rPr>
                <w:rFonts w:ascii="Arial" w:hAnsi="Arial" w:cs="Arial"/>
                <w:sz w:val="22"/>
                <w:szCs w:val="22"/>
              </w:rPr>
            </w:pPr>
            <w:r w:rsidRPr="00901E65">
              <w:rPr>
                <w:rFonts w:ascii="Arial" w:hAnsi="Arial" w:cs="Arial"/>
                <w:b/>
                <w:bCs/>
                <w:sz w:val="22"/>
                <w:szCs w:val="22"/>
              </w:rPr>
              <w:t>D. L 4 aprile 2006, n. 216</w:t>
            </w:r>
            <w:r w:rsidRPr="00901E65">
              <w:rPr>
                <w:rFonts w:ascii="Arial" w:hAnsi="Arial" w:cs="Arial"/>
                <w:sz w:val="22"/>
                <w:szCs w:val="22"/>
              </w:rPr>
              <w:t>: Attuazione delle direttive 2003/87, 2004/101/CE e 2009/29/CE in materia di scambio di quote di emissioni dei gas a effetto serra nella Comunità Europea, e successive modifiche e integrazioni (D. Lgs 7 marzo 2008, n. 51)</w:t>
            </w:r>
          </w:p>
        </w:tc>
      </w:tr>
      <w:tr w:rsidR="001249E6" w:rsidRPr="001249E6" w14:paraId="2BF5D0A3" w14:textId="77777777" w:rsidTr="00EA211C">
        <w:trPr>
          <w:trHeight w:val="1139"/>
        </w:trPr>
        <w:tc>
          <w:tcPr>
            <w:tcW w:w="4972" w:type="dxa"/>
            <w:shd w:val="clear" w:color="auto" w:fill="auto"/>
            <w:tcMar>
              <w:top w:w="10" w:type="dxa"/>
              <w:left w:w="10" w:type="dxa"/>
              <w:bottom w:w="10" w:type="dxa"/>
              <w:right w:w="10" w:type="dxa"/>
            </w:tcMar>
            <w:vAlign w:val="center"/>
            <w:hideMark/>
          </w:tcPr>
          <w:p w14:paraId="2029738E" w14:textId="0FE4C456" w:rsidR="001249E6" w:rsidRPr="00A061A4" w:rsidRDefault="001249E6" w:rsidP="001249E6">
            <w:pPr>
              <w:pStyle w:val="Corpotesto"/>
              <w:ind w:right="45"/>
              <w:jc w:val="both"/>
              <w:rPr>
                <w:rFonts w:ascii="Arial" w:hAnsi="Arial" w:cs="Arial"/>
                <w:sz w:val="22"/>
                <w:szCs w:val="22"/>
              </w:rPr>
            </w:pPr>
            <w:r w:rsidRPr="00A061A4">
              <w:rPr>
                <w:rFonts w:ascii="Arial" w:hAnsi="Arial" w:cs="Arial"/>
                <w:b/>
                <w:bCs/>
                <w:sz w:val="22"/>
                <w:szCs w:val="22"/>
              </w:rPr>
              <w:t>Direttiva 2004/101/CE</w:t>
            </w:r>
            <w:r w:rsidRPr="00A061A4">
              <w:rPr>
                <w:rFonts w:ascii="Arial" w:hAnsi="Arial" w:cs="Arial"/>
                <w:sz w:val="22"/>
                <w:szCs w:val="22"/>
              </w:rPr>
              <w:t xml:space="preserve">, definisce il collegamento con gli altri «meccanismi flessibili» del </w:t>
            </w:r>
            <w:proofErr w:type="spellStart"/>
            <w:r w:rsidRPr="00A061A4">
              <w:rPr>
                <w:rFonts w:ascii="Arial" w:hAnsi="Arial" w:cs="Arial"/>
                <w:sz w:val="22"/>
                <w:szCs w:val="22"/>
              </w:rPr>
              <w:t>procollo</w:t>
            </w:r>
            <w:proofErr w:type="spellEnd"/>
            <w:r w:rsidRPr="00A061A4">
              <w:rPr>
                <w:rFonts w:ascii="Arial" w:hAnsi="Arial" w:cs="Arial"/>
                <w:sz w:val="22"/>
                <w:szCs w:val="22"/>
              </w:rPr>
              <w:t xml:space="preserve"> di Kyoto, attraverso il </w:t>
            </w:r>
            <w:proofErr w:type="spellStart"/>
            <w:r w:rsidRPr="00A061A4">
              <w:rPr>
                <w:rFonts w:ascii="Arial" w:hAnsi="Arial" w:cs="Arial"/>
                <w:sz w:val="22"/>
                <w:szCs w:val="22"/>
              </w:rPr>
              <w:t>Clean</w:t>
            </w:r>
            <w:proofErr w:type="spellEnd"/>
            <w:r w:rsidRPr="00A061A4">
              <w:rPr>
                <w:rFonts w:ascii="Arial" w:hAnsi="Arial" w:cs="Arial"/>
                <w:sz w:val="22"/>
                <w:szCs w:val="22"/>
              </w:rPr>
              <w:t xml:space="preserve"> Development </w:t>
            </w:r>
            <w:proofErr w:type="spellStart"/>
            <w:r w:rsidRPr="00A061A4">
              <w:rPr>
                <w:rFonts w:ascii="Arial" w:hAnsi="Arial" w:cs="Arial"/>
                <w:sz w:val="22"/>
                <w:szCs w:val="22"/>
              </w:rPr>
              <w:t>Mechanism</w:t>
            </w:r>
            <w:proofErr w:type="spellEnd"/>
            <w:r w:rsidRPr="00A061A4">
              <w:rPr>
                <w:rFonts w:ascii="Arial" w:hAnsi="Arial" w:cs="Arial"/>
                <w:sz w:val="22"/>
                <w:szCs w:val="22"/>
              </w:rPr>
              <w:t xml:space="preserve"> (CDM), che rilascia crediti CER e il Joint </w:t>
            </w:r>
            <w:proofErr w:type="spellStart"/>
            <w:r w:rsidRPr="00A061A4">
              <w:rPr>
                <w:rFonts w:ascii="Arial" w:hAnsi="Arial" w:cs="Arial"/>
                <w:sz w:val="22"/>
                <w:szCs w:val="22"/>
              </w:rPr>
              <w:t>Implementation</w:t>
            </w:r>
            <w:proofErr w:type="spellEnd"/>
            <w:r w:rsidRPr="00A061A4">
              <w:rPr>
                <w:rFonts w:ascii="Arial" w:hAnsi="Arial" w:cs="Arial"/>
                <w:sz w:val="22"/>
                <w:szCs w:val="22"/>
              </w:rPr>
              <w:t xml:space="preserve"> (JI) che rilascia crediti detti ERU</w:t>
            </w:r>
            <w:r w:rsidR="001C1436">
              <w:rPr>
                <w:rStyle w:val="Rimandonotaapidipagina"/>
                <w:rFonts w:ascii="Arial" w:hAnsi="Arial" w:cs="Arial"/>
                <w:sz w:val="22"/>
                <w:szCs w:val="22"/>
              </w:rPr>
              <w:footnoteReference w:id="22"/>
            </w:r>
          </w:p>
        </w:tc>
        <w:tc>
          <w:tcPr>
            <w:tcW w:w="4819" w:type="dxa"/>
            <w:shd w:val="clear" w:color="auto" w:fill="auto"/>
            <w:tcMar>
              <w:top w:w="10" w:type="dxa"/>
              <w:left w:w="10" w:type="dxa"/>
              <w:bottom w:w="10" w:type="dxa"/>
              <w:right w:w="10" w:type="dxa"/>
            </w:tcMar>
            <w:vAlign w:val="center"/>
            <w:hideMark/>
          </w:tcPr>
          <w:p w14:paraId="7142D517" w14:textId="70BC9C9B" w:rsidR="001249E6" w:rsidRPr="00A061A4" w:rsidRDefault="00A061A4" w:rsidP="001249E6">
            <w:pPr>
              <w:pStyle w:val="Corpotesto"/>
              <w:ind w:right="45"/>
              <w:jc w:val="both"/>
              <w:rPr>
                <w:rFonts w:ascii="Arial" w:hAnsi="Arial" w:cs="Arial"/>
                <w:sz w:val="22"/>
                <w:szCs w:val="22"/>
              </w:rPr>
            </w:pPr>
            <w:r>
              <w:rPr>
                <w:rFonts w:ascii="Arial" w:hAnsi="Arial" w:cs="Arial"/>
                <w:sz w:val="22"/>
                <w:szCs w:val="22"/>
              </w:rPr>
              <w:t>La direttiva è stata accolta nel</w:t>
            </w:r>
            <w:r w:rsidR="00BB25D9">
              <w:rPr>
                <w:rFonts w:ascii="Arial" w:hAnsi="Arial" w:cs="Arial"/>
                <w:sz w:val="22"/>
                <w:szCs w:val="22"/>
              </w:rPr>
              <w:t xml:space="preserve"> D. L.2016 del 4 aprile 2006. </w:t>
            </w:r>
          </w:p>
        </w:tc>
      </w:tr>
      <w:tr w:rsidR="001249E6" w:rsidRPr="001249E6" w14:paraId="10805123" w14:textId="77777777" w:rsidTr="00EA211C">
        <w:trPr>
          <w:trHeight w:val="2222"/>
        </w:trPr>
        <w:tc>
          <w:tcPr>
            <w:tcW w:w="4972" w:type="dxa"/>
            <w:shd w:val="clear" w:color="auto" w:fill="auto"/>
            <w:tcMar>
              <w:top w:w="10" w:type="dxa"/>
              <w:left w:w="10" w:type="dxa"/>
              <w:bottom w:w="10" w:type="dxa"/>
              <w:right w:w="10" w:type="dxa"/>
            </w:tcMar>
            <w:vAlign w:val="center"/>
            <w:hideMark/>
          </w:tcPr>
          <w:p w14:paraId="29EBA30B" w14:textId="791C0667" w:rsidR="001249E6" w:rsidRPr="00A061A4" w:rsidRDefault="001249E6" w:rsidP="001249E6">
            <w:pPr>
              <w:pStyle w:val="Corpotesto"/>
              <w:ind w:right="45"/>
              <w:jc w:val="both"/>
              <w:rPr>
                <w:rFonts w:ascii="Arial" w:hAnsi="Arial" w:cs="Arial"/>
                <w:sz w:val="22"/>
                <w:szCs w:val="22"/>
              </w:rPr>
            </w:pPr>
            <w:r w:rsidRPr="00762F98">
              <w:rPr>
                <w:rFonts w:ascii="Arial" w:hAnsi="Arial" w:cs="Arial"/>
                <w:b/>
                <w:bCs/>
                <w:sz w:val="22"/>
                <w:szCs w:val="22"/>
              </w:rPr>
              <w:lastRenderedPageBreak/>
              <w:t>Direttiva UE 2018/410</w:t>
            </w:r>
            <w:r w:rsidRPr="00762F98">
              <w:rPr>
                <w:rFonts w:ascii="Arial" w:hAnsi="Arial" w:cs="Arial"/>
                <w:sz w:val="22"/>
                <w:szCs w:val="22"/>
              </w:rPr>
              <w:t xml:space="preserve"> del Parlamento europeo e del Consiglio che modifica la direttiva 2003/87/CE per sostenere una riduzione delle emissioni più efficace sotto il profilo dei costi e promuovere investimenti a favore di basse emissioni di carbonio e la decisione (UE) 2015/1814</w:t>
            </w:r>
          </w:p>
        </w:tc>
        <w:tc>
          <w:tcPr>
            <w:tcW w:w="4819" w:type="dxa"/>
            <w:shd w:val="clear" w:color="auto" w:fill="auto"/>
            <w:tcMar>
              <w:top w:w="10" w:type="dxa"/>
              <w:left w:w="10" w:type="dxa"/>
              <w:bottom w:w="10" w:type="dxa"/>
              <w:right w:w="10" w:type="dxa"/>
            </w:tcMar>
            <w:vAlign w:val="center"/>
            <w:hideMark/>
          </w:tcPr>
          <w:p w14:paraId="4FDA9B30" w14:textId="1CDA0AC0" w:rsidR="001249E6" w:rsidRPr="00A061A4" w:rsidRDefault="001249E6" w:rsidP="001249E6">
            <w:pPr>
              <w:pStyle w:val="Corpotesto"/>
              <w:ind w:right="45"/>
              <w:jc w:val="both"/>
              <w:rPr>
                <w:rFonts w:ascii="Arial" w:hAnsi="Arial" w:cs="Arial"/>
                <w:sz w:val="22"/>
                <w:szCs w:val="22"/>
              </w:rPr>
            </w:pPr>
            <w:proofErr w:type="spellStart"/>
            <w:r w:rsidRPr="00762F98">
              <w:rPr>
                <w:rFonts w:ascii="Arial" w:hAnsi="Arial" w:cs="Arial"/>
                <w:b/>
                <w:bCs/>
                <w:sz w:val="22"/>
                <w:szCs w:val="22"/>
              </w:rPr>
              <w:t>D.Lgs.</w:t>
            </w:r>
            <w:proofErr w:type="spellEnd"/>
            <w:r w:rsidRPr="00762F98">
              <w:rPr>
                <w:rFonts w:ascii="Arial" w:hAnsi="Arial" w:cs="Arial"/>
                <w:b/>
                <w:bCs/>
                <w:sz w:val="22"/>
                <w:szCs w:val="22"/>
              </w:rPr>
              <w:t xml:space="preserve"> 9 giugno 2020, n.47</w:t>
            </w:r>
            <w:r w:rsidR="00762F98">
              <w:rPr>
                <w:rFonts w:ascii="Arial" w:hAnsi="Arial" w:cs="Arial"/>
                <w:b/>
                <w:bCs/>
                <w:sz w:val="22"/>
                <w:szCs w:val="22"/>
              </w:rPr>
              <w:t xml:space="preserve">- </w:t>
            </w:r>
            <w:r w:rsidRPr="00A061A4">
              <w:rPr>
                <w:rFonts w:ascii="Arial" w:hAnsi="Arial" w:cs="Arial"/>
                <w:sz w:val="22"/>
                <w:szCs w:val="22"/>
              </w:rPr>
              <w:t>Attuazione della direttiva (UE) 2018/410 del Parlamento europeo e del Consiglio del 14 marzo 2018, che modifica la direttiva 2003/87/CE per sostenere una riduzione delle emissioni più efficace sotto il profilo dei costi e promuovere investimenti a favore di basse emissioni di carbonio, nonché adeguamento della normativa nazionale alle disposizioni del regolamento (UE) 2017/2392 relativo alle attività di trasporto aereo e alla decisione (UE) 2015/1814 del Parlamento europeo e del Consiglio del 6 ottobre 2015 relativa all'istituzione e al funzionamento di una riserva stabilizzatrice del mercato.</w:t>
            </w:r>
          </w:p>
        </w:tc>
      </w:tr>
    </w:tbl>
    <w:p w14:paraId="2E3D581A" w14:textId="40EB1279" w:rsidR="000B3CD6" w:rsidRDefault="000B3CD6" w:rsidP="006332E1">
      <w:pPr>
        <w:pStyle w:val="Corpotesto"/>
        <w:ind w:right="45"/>
        <w:jc w:val="both"/>
        <w:rPr>
          <w:rFonts w:ascii="Arial" w:hAnsi="Arial" w:cs="Arial"/>
          <w:sz w:val="24"/>
          <w:szCs w:val="24"/>
        </w:rPr>
      </w:pPr>
    </w:p>
    <w:p w14:paraId="1CDA4FED" w14:textId="69748D28" w:rsidR="00036B0C" w:rsidRPr="00BA39C6" w:rsidRDefault="00036B0C" w:rsidP="00036B0C">
      <w:pPr>
        <w:pStyle w:val="Corpotesto"/>
        <w:ind w:right="45" w:firstLine="567"/>
        <w:jc w:val="both"/>
        <w:rPr>
          <w:rFonts w:ascii="Arial" w:hAnsi="Arial" w:cs="Arial"/>
          <w:sz w:val="24"/>
          <w:szCs w:val="24"/>
        </w:rPr>
      </w:pPr>
      <w:r w:rsidRPr="00C72B4C">
        <w:rPr>
          <w:rFonts w:ascii="Arial" w:hAnsi="Arial" w:cs="Arial"/>
          <w:sz w:val="24"/>
          <w:szCs w:val="24"/>
        </w:rPr>
        <w:t>La creazione del mercato EU ETS</w:t>
      </w:r>
      <w:r>
        <w:rPr>
          <w:rFonts w:ascii="Arial" w:hAnsi="Arial" w:cs="Arial"/>
          <w:sz w:val="24"/>
          <w:szCs w:val="24"/>
        </w:rPr>
        <w:t xml:space="preserve"> e la normativa di riferimento contengono due elementi particolarmente importanti a fini delle attività progettuali</w:t>
      </w:r>
      <w:r w:rsidR="00387E2F">
        <w:rPr>
          <w:rFonts w:ascii="Arial" w:hAnsi="Arial" w:cs="Arial"/>
          <w:sz w:val="24"/>
          <w:szCs w:val="24"/>
        </w:rPr>
        <w:t xml:space="preserve"> del Progetto LIFE CO2PES&amp;PEF</w:t>
      </w:r>
      <w:r w:rsidR="004B3797">
        <w:rPr>
          <w:rFonts w:ascii="Arial" w:hAnsi="Arial" w:cs="Arial"/>
          <w:sz w:val="24"/>
          <w:szCs w:val="24"/>
        </w:rPr>
        <w:t xml:space="preserve">, soprattutto per quanto attiene </w:t>
      </w:r>
      <w:r w:rsidR="00006D00">
        <w:rPr>
          <w:rFonts w:ascii="Arial" w:hAnsi="Arial" w:cs="Arial"/>
          <w:sz w:val="24"/>
          <w:szCs w:val="24"/>
        </w:rPr>
        <w:t>a</w:t>
      </w:r>
      <w:r>
        <w:rPr>
          <w:rFonts w:ascii="Arial" w:hAnsi="Arial" w:cs="Arial"/>
          <w:sz w:val="24"/>
          <w:szCs w:val="24"/>
        </w:rPr>
        <w:t>lla creazione di un sistema di crediti ecosistemici che abbia come riferimento</w:t>
      </w:r>
      <w:r w:rsidR="00E91950">
        <w:rPr>
          <w:rFonts w:ascii="Arial" w:hAnsi="Arial" w:cs="Arial"/>
          <w:sz w:val="24"/>
          <w:szCs w:val="24"/>
        </w:rPr>
        <w:t xml:space="preserve"> indicativo</w:t>
      </w:r>
      <w:r>
        <w:rPr>
          <w:rFonts w:ascii="Arial" w:hAnsi="Arial" w:cs="Arial"/>
          <w:sz w:val="24"/>
          <w:szCs w:val="24"/>
        </w:rPr>
        <w:t xml:space="preserve"> il prezzo delle EUA. Il primo di questi due elementi è il Regolamento </w:t>
      </w:r>
      <w:r w:rsidR="00054DE5">
        <w:rPr>
          <w:rFonts w:ascii="Arial" w:hAnsi="Arial" w:cs="Arial"/>
          <w:sz w:val="24"/>
          <w:szCs w:val="24"/>
        </w:rPr>
        <w:t>525/2013, che prevede l’Istituzione di un Registro Europeo dei gas GHG</w:t>
      </w:r>
      <w:r w:rsidR="00B81458">
        <w:rPr>
          <w:rFonts w:ascii="Arial" w:hAnsi="Arial" w:cs="Arial"/>
          <w:sz w:val="24"/>
          <w:szCs w:val="24"/>
        </w:rPr>
        <w:t xml:space="preserve"> e degli Inventari Nazionali dei Gas GHG, </w:t>
      </w:r>
      <w:r w:rsidR="005B5382">
        <w:rPr>
          <w:rFonts w:ascii="Arial" w:hAnsi="Arial" w:cs="Arial"/>
          <w:sz w:val="24"/>
          <w:szCs w:val="24"/>
        </w:rPr>
        <w:t xml:space="preserve">all’interno dei quali sono contenuti anche i dati delle EUA del mercato EU ETS. </w:t>
      </w:r>
      <w:r w:rsidR="00BA39C6">
        <w:rPr>
          <w:rFonts w:ascii="Arial" w:hAnsi="Arial" w:cs="Arial"/>
          <w:sz w:val="24"/>
          <w:szCs w:val="24"/>
        </w:rPr>
        <w:t>Il secondo è dato dalla</w:t>
      </w:r>
      <w:r w:rsidR="00BA39C6" w:rsidRPr="00BA39C6">
        <w:rPr>
          <w:rFonts w:ascii="Arial" w:hAnsi="Arial" w:cs="Arial"/>
          <w:sz w:val="24"/>
          <w:szCs w:val="24"/>
        </w:rPr>
        <w:t xml:space="preserve"> </w:t>
      </w:r>
      <w:r w:rsidR="00BA39C6" w:rsidRPr="008E0423">
        <w:rPr>
          <w:rFonts w:ascii="Arial" w:hAnsi="Arial" w:cs="Arial"/>
          <w:sz w:val="24"/>
          <w:szCs w:val="24"/>
        </w:rPr>
        <w:t xml:space="preserve">direttiva </w:t>
      </w:r>
      <w:r w:rsidR="00BA39C6" w:rsidRPr="00BA39C6">
        <w:rPr>
          <w:rFonts w:ascii="Arial" w:hAnsi="Arial" w:cs="Arial"/>
          <w:sz w:val="24"/>
          <w:szCs w:val="24"/>
        </w:rPr>
        <w:t>2004/101/CE</w:t>
      </w:r>
      <w:r w:rsidR="00BA39C6">
        <w:rPr>
          <w:rFonts w:ascii="Arial" w:hAnsi="Arial" w:cs="Arial"/>
          <w:sz w:val="24"/>
          <w:szCs w:val="24"/>
        </w:rPr>
        <w:t xml:space="preserve">, che prevede </w:t>
      </w:r>
      <w:r w:rsidR="008F4307">
        <w:rPr>
          <w:rFonts w:ascii="Arial" w:hAnsi="Arial" w:cs="Arial"/>
          <w:sz w:val="24"/>
          <w:szCs w:val="24"/>
        </w:rPr>
        <w:t>l’utilizzo nel mercato EU ETS dei crediti CER</w:t>
      </w:r>
      <w:r w:rsidR="008E6640">
        <w:rPr>
          <w:rFonts w:ascii="Arial" w:hAnsi="Arial" w:cs="Arial"/>
          <w:sz w:val="24"/>
          <w:szCs w:val="24"/>
        </w:rPr>
        <w:t xml:space="preserve">, ERU e simili ottenuti dai meccanismi flessibili del Protocollo di Kyoto. </w:t>
      </w:r>
      <w:r w:rsidR="00BA39C6" w:rsidRPr="00BA39C6">
        <w:rPr>
          <w:rFonts w:ascii="Arial" w:hAnsi="Arial" w:cs="Arial"/>
          <w:sz w:val="24"/>
          <w:szCs w:val="24"/>
        </w:rPr>
        <w:t xml:space="preserve"> </w:t>
      </w:r>
    </w:p>
    <w:p w14:paraId="153075EA" w14:textId="77777777" w:rsidR="006674BD" w:rsidRDefault="006674BD" w:rsidP="006332E1">
      <w:pPr>
        <w:pStyle w:val="Corpotesto"/>
        <w:ind w:right="45"/>
        <w:jc w:val="both"/>
        <w:rPr>
          <w:rFonts w:ascii="Arial" w:hAnsi="Arial" w:cs="Arial"/>
          <w:sz w:val="24"/>
          <w:szCs w:val="24"/>
        </w:rPr>
      </w:pPr>
    </w:p>
    <w:p w14:paraId="3FB4766B" w14:textId="092FC090" w:rsidR="003C4EBE" w:rsidRDefault="003C4EBE" w:rsidP="006332E1">
      <w:pPr>
        <w:pStyle w:val="Corpotesto"/>
        <w:ind w:right="45"/>
        <w:jc w:val="both"/>
        <w:rPr>
          <w:rFonts w:ascii="Arial" w:hAnsi="Arial" w:cs="Arial"/>
          <w:sz w:val="24"/>
          <w:szCs w:val="24"/>
        </w:rPr>
      </w:pPr>
    </w:p>
    <w:p w14:paraId="07FB180D" w14:textId="21F420D6" w:rsidR="003C4EBE" w:rsidRDefault="003C4EBE" w:rsidP="003C4EBE">
      <w:pPr>
        <w:pStyle w:val="Titolo2"/>
      </w:pPr>
      <w:bookmarkStart w:id="2" w:name="_Toc74265391"/>
      <w:r>
        <w:t>Il Regolamento UE 525/2013 e l’inventario dei gas GHG</w:t>
      </w:r>
      <w:bookmarkEnd w:id="2"/>
    </w:p>
    <w:p w14:paraId="2D9C8763" w14:textId="7823E672" w:rsidR="003C4EBE" w:rsidRDefault="003C4EBE" w:rsidP="006332E1">
      <w:pPr>
        <w:pStyle w:val="Corpotesto"/>
        <w:ind w:right="45"/>
        <w:jc w:val="both"/>
        <w:rPr>
          <w:rFonts w:ascii="Arial" w:hAnsi="Arial" w:cs="Arial"/>
          <w:sz w:val="24"/>
          <w:szCs w:val="24"/>
        </w:rPr>
      </w:pPr>
    </w:p>
    <w:p w14:paraId="53E6EE63" w14:textId="74A62BBB" w:rsidR="008E6640" w:rsidRDefault="008E6640" w:rsidP="00C72B4C">
      <w:pPr>
        <w:pStyle w:val="Corpotesto"/>
        <w:ind w:right="45" w:firstLine="567"/>
        <w:jc w:val="both"/>
        <w:rPr>
          <w:rFonts w:ascii="Arial" w:hAnsi="Arial" w:cs="Arial"/>
          <w:sz w:val="24"/>
          <w:szCs w:val="24"/>
        </w:rPr>
      </w:pPr>
      <w:r>
        <w:rPr>
          <w:rFonts w:ascii="Arial" w:hAnsi="Arial" w:cs="Arial"/>
          <w:sz w:val="24"/>
          <w:szCs w:val="24"/>
        </w:rPr>
        <w:t xml:space="preserve">Prima di discutere questo Regolamento, </w:t>
      </w:r>
      <w:r w:rsidR="00D81337">
        <w:rPr>
          <w:rFonts w:ascii="Arial" w:hAnsi="Arial" w:cs="Arial"/>
          <w:sz w:val="24"/>
          <w:szCs w:val="24"/>
        </w:rPr>
        <w:t>occorre</w:t>
      </w:r>
      <w:r>
        <w:rPr>
          <w:rFonts w:ascii="Arial" w:hAnsi="Arial" w:cs="Arial"/>
          <w:sz w:val="24"/>
          <w:szCs w:val="24"/>
        </w:rPr>
        <w:t xml:space="preserve"> chiarire subito che è stato </w:t>
      </w:r>
      <w:r w:rsidR="00E45097">
        <w:rPr>
          <w:rFonts w:ascii="Arial" w:hAnsi="Arial" w:cs="Arial"/>
          <w:sz w:val="24"/>
          <w:szCs w:val="24"/>
        </w:rPr>
        <w:t xml:space="preserve">recentemente abrogato e sostituito da un altro Regolamento, il 1999/2018, che nel accoglie </w:t>
      </w:r>
      <w:r w:rsidR="005A656E">
        <w:rPr>
          <w:rFonts w:ascii="Arial" w:hAnsi="Arial" w:cs="Arial"/>
          <w:sz w:val="24"/>
          <w:szCs w:val="24"/>
        </w:rPr>
        <w:t xml:space="preserve">gli intendimenti </w:t>
      </w:r>
      <w:r w:rsidR="00D967E1">
        <w:rPr>
          <w:rFonts w:ascii="Arial" w:hAnsi="Arial" w:cs="Arial"/>
          <w:sz w:val="24"/>
          <w:szCs w:val="24"/>
        </w:rPr>
        <w:t xml:space="preserve">e </w:t>
      </w:r>
      <w:r w:rsidR="005A656E">
        <w:rPr>
          <w:rFonts w:ascii="Arial" w:hAnsi="Arial" w:cs="Arial"/>
          <w:sz w:val="24"/>
          <w:szCs w:val="24"/>
        </w:rPr>
        <w:t>gli allarga in quadro più ampio. Questo Regolamento</w:t>
      </w:r>
      <w:r w:rsidR="004D5447">
        <w:rPr>
          <w:rFonts w:ascii="Arial" w:hAnsi="Arial" w:cs="Arial"/>
          <w:sz w:val="24"/>
          <w:szCs w:val="24"/>
        </w:rPr>
        <w:t>,</w:t>
      </w:r>
      <w:r w:rsidR="005A656E">
        <w:rPr>
          <w:rFonts w:ascii="Arial" w:hAnsi="Arial" w:cs="Arial"/>
          <w:sz w:val="24"/>
          <w:szCs w:val="24"/>
        </w:rPr>
        <w:t xml:space="preserve"> e le sue implicazioni per il progetto, verranno </w:t>
      </w:r>
      <w:r w:rsidR="000C205B">
        <w:rPr>
          <w:rFonts w:ascii="Arial" w:hAnsi="Arial" w:cs="Arial"/>
          <w:sz w:val="24"/>
          <w:szCs w:val="24"/>
        </w:rPr>
        <w:t xml:space="preserve">discussi brevemente più oltre. </w:t>
      </w:r>
      <w:r w:rsidR="00866CE4">
        <w:rPr>
          <w:rFonts w:ascii="Arial" w:hAnsi="Arial" w:cs="Arial"/>
          <w:sz w:val="24"/>
          <w:szCs w:val="24"/>
        </w:rPr>
        <w:t xml:space="preserve">Si ritiene comunque necessario discutere del Regolamento 525/2013 </w:t>
      </w:r>
      <w:r w:rsidR="004740B1">
        <w:rPr>
          <w:rFonts w:ascii="Arial" w:hAnsi="Arial" w:cs="Arial"/>
          <w:sz w:val="24"/>
          <w:szCs w:val="24"/>
        </w:rPr>
        <w:t xml:space="preserve">non solo </w:t>
      </w:r>
      <w:r w:rsidR="00866CE4">
        <w:rPr>
          <w:rFonts w:ascii="Arial" w:hAnsi="Arial" w:cs="Arial"/>
          <w:sz w:val="24"/>
          <w:szCs w:val="24"/>
        </w:rPr>
        <w:t xml:space="preserve">perché </w:t>
      </w:r>
      <w:r w:rsidR="003A0FCD">
        <w:rPr>
          <w:rFonts w:ascii="Arial" w:hAnsi="Arial" w:cs="Arial"/>
          <w:sz w:val="24"/>
          <w:szCs w:val="24"/>
        </w:rPr>
        <w:t>ha rappresentato un elemento essenziale della strategia europea sul clima, dove per la prima volta si ha un inquadramento generale del sistema delle emissioni</w:t>
      </w:r>
      <w:r w:rsidR="004740B1">
        <w:rPr>
          <w:rFonts w:ascii="Arial" w:hAnsi="Arial" w:cs="Arial"/>
          <w:sz w:val="24"/>
          <w:szCs w:val="24"/>
        </w:rPr>
        <w:t xml:space="preserve">, ma anche perché </w:t>
      </w:r>
      <w:r w:rsidR="008A1C72">
        <w:rPr>
          <w:rFonts w:ascii="Arial" w:hAnsi="Arial" w:cs="Arial"/>
          <w:sz w:val="24"/>
          <w:szCs w:val="24"/>
        </w:rPr>
        <w:t>lo strumento dell’inventario dei gas GHG</w:t>
      </w:r>
      <w:r w:rsidR="003D1E43">
        <w:rPr>
          <w:rFonts w:ascii="Arial" w:hAnsi="Arial" w:cs="Arial"/>
          <w:sz w:val="24"/>
          <w:szCs w:val="24"/>
        </w:rPr>
        <w:t xml:space="preserve"> definito nel Regolamento 525/2013 è tuttora valido</w:t>
      </w:r>
      <w:r w:rsidR="003A0FCD">
        <w:rPr>
          <w:rFonts w:ascii="Arial" w:hAnsi="Arial" w:cs="Arial"/>
          <w:sz w:val="24"/>
          <w:szCs w:val="24"/>
        </w:rPr>
        <w:t xml:space="preserve">. </w:t>
      </w:r>
    </w:p>
    <w:p w14:paraId="254181F4" w14:textId="25D0E028" w:rsidR="00E13898" w:rsidRDefault="00EB1AB9" w:rsidP="00EA6071">
      <w:pPr>
        <w:pStyle w:val="Corpotesto"/>
        <w:ind w:right="45" w:firstLine="567"/>
        <w:jc w:val="both"/>
        <w:rPr>
          <w:rFonts w:ascii="Arial" w:hAnsi="Arial" w:cs="Arial"/>
          <w:sz w:val="24"/>
          <w:szCs w:val="24"/>
        </w:rPr>
      </w:pPr>
      <w:r>
        <w:rPr>
          <w:rFonts w:ascii="Arial" w:hAnsi="Arial" w:cs="Arial"/>
          <w:sz w:val="24"/>
          <w:szCs w:val="24"/>
        </w:rPr>
        <w:t xml:space="preserve">Dieci anni dopo la </w:t>
      </w:r>
      <w:r w:rsidR="00F91505">
        <w:rPr>
          <w:rFonts w:ascii="Arial" w:hAnsi="Arial" w:cs="Arial"/>
          <w:sz w:val="24"/>
          <w:szCs w:val="24"/>
        </w:rPr>
        <w:t xml:space="preserve">direttiva </w:t>
      </w:r>
      <w:r w:rsidR="00F91505" w:rsidRPr="00AC6215">
        <w:rPr>
          <w:rFonts w:ascii="Arial" w:hAnsi="Arial" w:cs="Arial"/>
          <w:sz w:val="24"/>
          <w:szCs w:val="24"/>
        </w:rPr>
        <w:t>2003/87/CE</w:t>
      </w:r>
      <w:r w:rsidR="00F91505">
        <w:rPr>
          <w:rFonts w:ascii="Arial" w:hAnsi="Arial" w:cs="Arial"/>
          <w:sz w:val="24"/>
          <w:szCs w:val="24"/>
        </w:rPr>
        <w:t xml:space="preserve"> </w:t>
      </w:r>
      <w:r w:rsidR="00BA0DAC">
        <w:rPr>
          <w:rFonts w:ascii="Arial" w:hAnsi="Arial" w:cs="Arial"/>
          <w:sz w:val="24"/>
          <w:szCs w:val="24"/>
        </w:rPr>
        <w:t xml:space="preserve">il Regolamento UE 525/2013 estende </w:t>
      </w:r>
      <w:r w:rsidR="001F4EBB">
        <w:rPr>
          <w:rFonts w:ascii="Arial" w:hAnsi="Arial" w:cs="Arial"/>
          <w:sz w:val="24"/>
          <w:szCs w:val="24"/>
        </w:rPr>
        <w:t xml:space="preserve">lo strumento del </w:t>
      </w:r>
      <w:r w:rsidR="00660474">
        <w:rPr>
          <w:rFonts w:ascii="Arial" w:hAnsi="Arial" w:cs="Arial"/>
          <w:sz w:val="24"/>
          <w:szCs w:val="24"/>
        </w:rPr>
        <w:t>R</w:t>
      </w:r>
      <w:r w:rsidR="002A294E">
        <w:rPr>
          <w:rFonts w:ascii="Arial" w:hAnsi="Arial" w:cs="Arial"/>
          <w:sz w:val="24"/>
          <w:szCs w:val="24"/>
        </w:rPr>
        <w:t xml:space="preserve">egistro a tutte le attività svolte sul suolo nazionale, </w:t>
      </w:r>
      <w:r w:rsidR="001F4EBB">
        <w:rPr>
          <w:rFonts w:ascii="Arial" w:hAnsi="Arial" w:cs="Arial"/>
          <w:sz w:val="24"/>
          <w:szCs w:val="24"/>
        </w:rPr>
        <w:t>istituendo</w:t>
      </w:r>
      <w:r w:rsidR="00D90AF0">
        <w:rPr>
          <w:rFonts w:ascii="Arial" w:hAnsi="Arial" w:cs="Arial"/>
          <w:sz w:val="24"/>
          <w:szCs w:val="24"/>
        </w:rPr>
        <w:t xml:space="preserve"> un </w:t>
      </w:r>
      <w:r w:rsidR="00D90AF0" w:rsidRPr="00F037E8">
        <w:rPr>
          <w:rFonts w:ascii="Arial" w:hAnsi="Arial" w:cs="Arial"/>
          <w:sz w:val="24"/>
          <w:szCs w:val="24"/>
        </w:rPr>
        <w:t>meccanismo di monitoraggio e comunicazione delle emissioni di gas ad effetto serra</w:t>
      </w:r>
      <w:r w:rsidR="003D338E" w:rsidRPr="00F037E8">
        <w:rPr>
          <w:rFonts w:ascii="Arial" w:hAnsi="Arial" w:cs="Arial"/>
          <w:sz w:val="24"/>
          <w:szCs w:val="24"/>
        </w:rPr>
        <w:t xml:space="preserve"> a livello </w:t>
      </w:r>
      <w:r w:rsidR="001F4EBB" w:rsidRPr="00F037E8">
        <w:rPr>
          <w:rFonts w:ascii="Arial" w:hAnsi="Arial" w:cs="Arial"/>
          <w:sz w:val="24"/>
          <w:szCs w:val="24"/>
        </w:rPr>
        <w:t xml:space="preserve">europeo. </w:t>
      </w:r>
      <w:r w:rsidR="0065207D" w:rsidRPr="00F037E8">
        <w:rPr>
          <w:rFonts w:ascii="Arial" w:hAnsi="Arial" w:cs="Arial"/>
          <w:sz w:val="24"/>
          <w:szCs w:val="24"/>
        </w:rPr>
        <w:t xml:space="preserve">Pertanto, vengono considerate non solo </w:t>
      </w:r>
      <w:r w:rsidR="0077556C" w:rsidRPr="00F037E8">
        <w:rPr>
          <w:rFonts w:ascii="Arial" w:hAnsi="Arial" w:cs="Arial"/>
          <w:sz w:val="24"/>
          <w:szCs w:val="24"/>
        </w:rPr>
        <w:t xml:space="preserve">le emissioni derivanti dai settori EU ETS, ma anche </w:t>
      </w:r>
      <w:r w:rsidR="00293BCE" w:rsidRPr="00F037E8">
        <w:rPr>
          <w:rFonts w:ascii="Arial" w:eastAsia="Times New Roman" w:hAnsi="Arial" w:cs="Arial"/>
          <w:sz w:val="24"/>
          <w:szCs w:val="24"/>
          <w:lang w:eastAsia="it-IT"/>
        </w:rPr>
        <w:t>le emissioni complessive derivanti dai settori non EU-ETS che</w:t>
      </w:r>
      <w:r w:rsidR="0077556C" w:rsidRPr="00F037E8">
        <w:rPr>
          <w:rFonts w:ascii="Arial" w:eastAsia="Times New Roman" w:hAnsi="Arial" w:cs="Arial"/>
          <w:sz w:val="24"/>
          <w:szCs w:val="24"/>
          <w:lang w:eastAsia="it-IT"/>
        </w:rPr>
        <w:t>,</w:t>
      </w:r>
      <w:r w:rsidR="00293BCE" w:rsidRPr="00F037E8">
        <w:rPr>
          <w:rFonts w:ascii="Arial" w:eastAsia="Times New Roman" w:hAnsi="Arial" w:cs="Arial"/>
          <w:sz w:val="24"/>
          <w:szCs w:val="24"/>
          <w:lang w:eastAsia="it-IT"/>
        </w:rPr>
        <w:t xml:space="preserve"> oltre al settore agrico</w:t>
      </w:r>
      <w:r w:rsidR="00FA0EC3">
        <w:rPr>
          <w:rFonts w:ascii="Arial" w:eastAsia="Times New Roman" w:hAnsi="Arial" w:cs="Arial"/>
          <w:sz w:val="24"/>
          <w:szCs w:val="24"/>
          <w:lang w:eastAsia="it-IT"/>
        </w:rPr>
        <w:t>lo</w:t>
      </w:r>
      <w:r w:rsidR="005720E0">
        <w:rPr>
          <w:rFonts w:ascii="Arial" w:eastAsia="Times New Roman" w:hAnsi="Arial" w:cs="Arial"/>
          <w:sz w:val="24"/>
          <w:szCs w:val="24"/>
          <w:lang w:eastAsia="it-IT"/>
        </w:rPr>
        <w:t>,</w:t>
      </w:r>
      <w:r w:rsidR="00293BCE" w:rsidRPr="00F037E8">
        <w:rPr>
          <w:rFonts w:ascii="Arial" w:eastAsia="Times New Roman" w:hAnsi="Arial" w:cs="Arial"/>
          <w:sz w:val="24"/>
          <w:szCs w:val="24"/>
          <w:lang w:eastAsia="it-IT"/>
        </w:rPr>
        <w:t xml:space="preserve"> includono</w:t>
      </w:r>
      <w:r w:rsidR="00FA0EC3">
        <w:rPr>
          <w:rFonts w:ascii="Arial" w:eastAsia="Times New Roman" w:hAnsi="Arial" w:cs="Arial"/>
          <w:sz w:val="24"/>
          <w:szCs w:val="24"/>
          <w:lang w:eastAsia="it-IT"/>
        </w:rPr>
        <w:t xml:space="preserve"> i settori industriali non in ETS, i</w:t>
      </w:r>
      <w:r w:rsidR="00293BCE" w:rsidRPr="00F037E8">
        <w:rPr>
          <w:rFonts w:ascii="Arial" w:eastAsia="Times New Roman" w:hAnsi="Arial" w:cs="Arial"/>
          <w:sz w:val="24"/>
          <w:szCs w:val="24"/>
          <w:lang w:eastAsia="it-IT"/>
        </w:rPr>
        <w:t xml:space="preserve"> trasporti, </w:t>
      </w:r>
      <w:r w:rsidR="005720E0">
        <w:rPr>
          <w:rFonts w:ascii="Arial" w:eastAsia="Times New Roman" w:hAnsi="Arial" w:cs="Arial"/>
          <w:sz w:val="24"/>
          <w:szCs w:val="24"/>
          <w:lang w:eastAsia="it-IT"/>
        </w:rPr>
        <w:t xml:space="preserve">il settore </w:t>
      </w:r>
      <w:r w:rsidR="00293BCE" w:rsidRPr="00F037E8">
        <w:rPr>
          <w:rFonts w:ascii="Arial" w:eastAsia="Times New Roman" w:hAnsi="Arial" w:cs="Arial"/>
          <w:sz w:val="24"/>
          <w:szCs w:val="24"/>
          <w:lang w:eastAsia="it-IT"/>
        </w:rPr>
        <w:t xml:space="preserve">residenziale e </w:t>
      </w:r>
      <w:r w:rsidR="005720E0">
        <w:rPr>
          <w:rFonts w:ascii="Arial" w:eastAsia="Times New Roman" w:hAnsi="Arial" w:cs="Arial"/>
          <w:sz w:val="24"/>
          <w:szCs w:val="24"/>
          <w:lang w:eastAsia="it-IT"/>
        </w:rPr>
        <w:t xml:space="preserve">quello dei </w:t>
      </w:r>
      <w:r w:rsidR="00293BCE" w:rsidRPr="00F037E8">
        <w:rPr>
          <w:rFonts w:ascii="Arial" w:eastAsia="Times New Roman" w:hAnsi="Arial" w:cs="Arial"/>
          <w:sz w:val="24"/>
          <w:szCs w:val="24"/>
          <w:lang w:eastAsia="it-IT"/>
        </w:rPr>
        <w:t>rifiuti</w:t>
      </w:r>
      <w:r w:rsidR="00D25422">
        <w:rPr>
          <w:rStyle w:val="Rimandonotaapidipagina"/>
          <w:rFonts w:ascii="Arial" w:eastAsia="Times New Roman" w:hAnsi="Arial" w:cs="Arial"/>
          <w:sz w:val="24"/>
          <w:szCs w:val="24"/>
          <w:lang w:eastAsia="it-IT"/>
        </w:rPr>
        <w:footnoteReference w:id="23"/>
      </w:r>
      <w:r w:rsidR="0077556C" w:rsidRPr="00F037E8">
        <w:rPr>
          <w:rFonts w:ascii="Arial" w:eastAsia="Times New Roman" w:hAnsi="Arial" w:cs="Arial"/>
          <w:sz w:val="24"/>
          <w:szCs w:val="24"/>
          <w:lang w:eastAsia="it-IT"/>
        </w:rPr>
        <w:t xml:space="preserve">. </w:t>
      </w:r>
      <w:r w:rsidR="002D2686">
        <w:rPr>
          <w:rFonts w:ascii="Arial" w:hAnsi="Arial" w:cs="Arial"/>
          <w:sz w:val="24"/>
          <w:szCs w:val="24"/>
        </w:rPr>
        <w:t xml:space="preserve">Ma ancora più importante è il fatto che </w:t>
      </w:r>
      <w:r w:rsidR="00593D0F">
        <w:rPr>
          <w:rFonts w:ascii="Arial" w:hAnsi="Arial" w:cs="Arial"/>
          <w:sz w:val="24"/>
          <w:szCs w:val="24"/>
        </w:rPr>
        <w:t>tutti i registri nazionali s</w:t>
      </w:r>
      <w:r w:rsidR="00E13898">
        <w:rPr>
          <w:rFonts w:ascii="Arial" w:hAnsi="Arial" w:cs="Arial"/>
          <w:sz w:val="24"/>
          <w:szCs w:val="24"/>
        </w:rPr>
        <w:t>o</w:t>
      </w:r>
      <w:r w:rsidR="00593D0F">
        <w:rPr>
          <w:rFonts w:ascii="Arial" w:hAnsi="Arial" w:cs="Arial"/>
          <w:sz w:val="24"/>
          <w:szCs w:val="24"/>
        </w:rPr>
        <w:t xml:space="preserve">no considerati parte di un unico Registro Europeo, che ha precise procedure di controllo e verifica. </w:t>
      </w:r>
    </w:p>
    <w:p w14:paraId="3FD69133" w14:textId="55432D75" w:rsidR="00532232" w:rsidRPr="008E79B3" w:rsidRDefault="00593D0F" w:rsidP="00C72B4C">
      <w:pPr>
        <w:pStyle w:val="Corpotesto"/>
        <w:ind w:right="45" w:firstLine="567"/>
        <w:jc w:val="both"/>
        <w:rPr>
          <w:rFonts w:ascii="Arial" w:eastAsia="Times New Roman" w:hAnsi="Arial" w:cs="Arial"/>
          <w:sz w:val="24"/>
          <w:szCs w:val="24"/>
          <w:lang w:eastAsia="it-IT"/>
        </w:rPr>
      </w:pPr>
      <w:r>
        <w:rPr>
          <w:rFonts w:ascii="Arial" w:hAnsi="Arial" w:cs="Arial"/>
          <w:sz w:val="24"/>
          <w:szCs w:val="24"/>
        </w:rPr>
        <w:t>Da</w:t>
      </w:r>
      <w:r w:rsidR="007B2B37">
        <w:rPr>
          <w:rFonts w:ascii="Arial" w:hAnsi="Arial" w:cs="Arial"/>
          <w:sz w:val="24"/>
          <w:szCs w:val="24"/>
        </w:rPr>
        <w:t>ll’entrata in vigore di questo Regolamento,</w:t>
      </w:r>
      <w:r w:rsidR="006D44EC">
        <w:rPr>
          <w:rFonts w:ascii="Arial" w:hAnsi="Arial" w:cs="Arial"/>
          <w:sz w:val="24"/>
          <w:szCs w:val="24"/>
        </w:rPr>
        <w:t xml:space="preserve"> si applica anche agli SM un principio analogo a quello del mercato EU ETS per le imprese, ovvero </w:t>
      </w:r>
      <w:r w:rsidR="00A56F94">
        <w:rPr>
          <w:rFonts w:ascii="Arial" w:hAnsi="Arial" w:cs="Arial"/>
          <w:sz w:val="24"/>
          <w:szCs w:val="24"/>
        </w:rPr>
        <w:t xml:space="preserve">ogni SM ha degli obbiettivi di riduzione delle emissioni e deve quantificare </w:t>
      </w:r>
      <w:r w:rsidR="00D238C4">
        <w:rPr>
          <w:rFonts w:ascii="Arial" w:hAnsi="Arial" w:cs="Arial"/>
          <w:sz w:val="24"/>
          <w:szCs w:val="24"/>
        </w:rPr>
        <w:t xml:space="preserve">le proprie emissioni in relazione alle soglie </w:t>
      </w:r>
      <w:r w:rsidR="00D238C4">
        <w:rPr>
          <w:rFonts w:ascii="Arial" w:hAnsi="Arial" w:cs="Arial"/>
          <w:sz w:val="24"/>
          <w:szCs w:val="24"/>
        </w:rPr>
        <w:lastRenderedPageBreak/>
        <w:t>previste dagli obbiettivi stabiliti</w:t>
      </w:r>
      <w:r w:rsidR="0002271E">
        <w:rPr>
          <w:rFonts w:ascii="Arial" w:hAnsi="Arial" w:cs="Arial"/>
          <w:sz w:val="24"/>
          <w:szCs w:val="24"/>
        </w:rPr>
        <w:t>. Il raggiungimento delle soglie è fatto con un insieme di azioni</w:t>
      </w:r>
      <w:r w:rsidR="002D5D39">
        <w:rPr>
          <w:rFonts w:ascii="Arial" w:hAnsi="Arial" w:cs="Arial"/>
          <w:sz w:val="24"/>
          <w:szCs w:val="24"/>
        </w:rPr>
        <w:t xml:space="preserve"> volte a ridurre le emissioni sul suolo dello SM</w:t>
      </w:r>
      <w:r w:rsidR="00F17F69">
        <w:rPr>
          <w:rStyle w:val="Rimandonotaapidipagina"/>
          <w:rFonts w:ascii="Arial" w:hAnsi="Arial" w:cs="Arial"/>
          <w:sz w:val="24"/>
          <w:szCs w:val="24"/>
        </w:rPr>
        <w:footnoteReference w:id="24"/>
      </w:r>
      <w:r w:rsidR="002D5D39">
        <w:rPr>
          <w:rFonts w:ascii="Arial" w:hAnsi="Arial" w:cs="Arial"/>
          <w:sz w:val="24"/>
          <w:szCs w:val="24"/>
        </w:rPr>
        <w:t>.</w:t>
      </w:r>
      <w:r w:rsidR="009D5762">
        <w:rPr>
          <w:rFonts w:ascii="Arial" w:hAnsi="Arial" w:cs="Arial"/>
          <w:sz w:val="24"/>
          <w:szCs w:val="24"/>
        </w:rPr>
        <w:t xml:space="preserve"> </w:t>
      </w:r>
      <w:r w:rsidR="00EA6071" w:rsidRPr="00F037E8">
        <w:rPr>
          <w:rFonts w:ascii="Arial" w:eastAsia="Times New Roman" w:hAnsi="Arial" w:cs="Arial"/>
          <w:sz w:val="24"/>
          <w:szCs w:val="24"/>
          <w:lang w:eastAsia="it-IT"/>
        </w:rPr>
        <w:t xml:space="preserve">Gli obiettivi di riduzione per l’Italia al 2020 e al 2030 sono stabiliti rispettivamente </w:t>
      </w:r>
      <w:r w:rsidR="00214603">
        <w:rPr>
          <w:rFonts w:ascii="Arial" w:eastAsia="Times New Roman" w:hAnsi="Arial" w:cs="Arial"/>
          <w:sz w:val="24"/>
          <w:szCs w:val="24"/>
          <w:lang w:eastAsia="it-IT"/>
        </w:rPr>
        <w:t xml:space="preserve">prima </w:t>
      </w:r>
      <w:r w:rsidR="00EA6071" w:rsidRPr="00F037E8">
        <w:rPr>
          <w:rFonts w:ascii="Arial" w:eastAsia="Times New Roman" w:hAnsi="Arial" w:cs="Arial"/>
          <w:sz w:val="24"/>
          <w:szCs w:val="24"/>
          <w:lang w:eastAsia="it-IT"/>
        </w:rPr>
        <w:t xml:space="preserve">dalla Decisione </w:t>
      </w:r>
      <w:proofErr w:type="spellStart"/>
      <w:r w:rsidR="00EA6071" w:rsidRPr="00F037E8">
        <w:rPr>
          <w:rFonts w:ascii="Arial" w:eastAsia="Times New Roman" w:hAnsi="Arial" w:cs="Arial"/>
          <w:sz w:val="24"/>
          <w:szCs w:val="24"/>
          <w:lang w:eastAsia="it-IT"/>
        </w:rPr>
        <w:t>Effort</w:t>
      </w:r>
      <w:proofErr w:type="spellEnd"/>
      <w:r w:rsidR="00EA6071" w:rsidRPr="00F037E8">
        <w:rPr>
          <w:rFonts w:ascii="Arial" w:eastAsia="Times New Roman" w:hAnsi="Arial" w:cs="Arial"/>
          <w:sz w:val="24"/>
          <w:szCs w:val="24"/>
          <w:lang w:eastAsia="it-IT"/>
        </w:rPr>
        <w:t xml:space="preserve"> Sharing (406/2009) </w:t>
      </w:r>
      <w:r w:rsidR="00214603" w:rsidRPr="00F037E8">
        <w:rPr>
          <w:rFonts w:ascii="Arial" w:eastAsia="Times New Roman" w:hAnsi="Arial" w:cs="Arial"/>
          <w:sz w:val="24"/>
          <w:szCs w:val="24"/>
          <w:lang w:eastAsia="it-IT"/>
        </w:rPr>
        <w:t xml:space="preserve">a -13% </w:t>
      </w:r>
      <w:r w:rsidR="00EA6071" w:rsidRPr="00F037E8">
        <w:rPr>
          <w:rFonts w:ascii="Arial" w:eastAsia="Times New Roman" w:hAnsi="Arial" w:cs="Arial"/>
          <w:sz w:val="24"/>
          <w:szCs w:val="24"/>
          <w:lang w:eastAsia="it-IT"/>
        </w:rPr>
        <w:t>e</w:t>
      </w:r>
      <w:r w:rsidR="0094492E">
        <w:rPr>
          <w:rFonts w:ascii="Arial" w:eastAsia="Times New Roman" w:hAnsi="Arial" w:cs="Arial"/>
          <w:sz w:val="24"/>
          <w:szCs w:val="24"/>
          <w:lang w:eastAsia="it-IT"/>
        </w:rPr>
        <w:t xml:space="preserve"> poi</w:t>
      </w:r>
      <w:r w:rsidR="00EA6071" w:rsidRPr="00F037E8">
        <w:rPr>
          <w:rFonts w:ascii="Arial" w:eastAsia="Times New Roman" w:hAnsi="Arial" w:cs="Arial"/>
          <w:sz w:val="24"/>
          <w:szCs w:val="24"/>
          <w:lang w:eastAsia="it-IT"/>
        </w:rPr>
        <w:t xml:space="preserve"> dal Regolamento EU </w:t>
      </w:r>
      <w:proofErr w:type="spellStart"/>
      <w:r w:rsidR="00EA6071" w:rsidRPr="00F037E8">
        <w:rPr>
          <w:rFonts w:ascii="Arial" w:eastAsia="Times New Roman" w:hAnsi="Arial" w:cs="Arial"/>
          <w:sz w:val="24"/>
          <w:szCs w:val="24"/>
          <w:lang w:eastAsia="it-IT"/>
        </w:rPr>
        <w:t>Effort</w:t>
      </w:r>
      <w:proofErr w:type="spellEnd"/>
      <w:r w:rsidR="00EA6071" w:rsidRPr="00F037E8">
        <w:rPr>
          <w:rFonts w:ascii="Arial" w:eastAsia="Times New Roman" w:hAnsi="Arial" w:cs="Arial"/>
          <w:sz w:val="24"/>
          <w:szCs w:val="24"/>
          <w:lang w:eastAsia="it-IT"/>
        </w:rPr>
        <w:t xml:space="preserve"> Sharing (2018/842) </w:t>
      </w:r>
      <w:r w:rsidR="0094492E">
        <w:rPr>
          <w:rFonts w:ascii="Arial" w:eastAsia="Times New Roman" w:hAnsi="Arial" w:cs="Arial"/>
          <w:sz w:val="24"/>
          <w:szCs w:val="24"/>
          <w:lang w:eastAsia="it-IT"/>
        </w:rPr>
        <w:t>a</w:t>
      </w:r>
      <w:r w:rsidR="00EA6071" w:rsidRPr="00F037E8">
        <w:rPr>
          <w:rFonts w:ascii="Arial" w:eastAsia="Times New Roman" w:hAnsi="Arial" w:cs="Arial"/>
          <w:sz w:val="24"/>
          <w:szCs w:val="24"/>
          <w:lang w:eastAsia="it-IT"/>
        </w:rPr>
        <w:t xml:space="preserve"> -33% rispetto alle </w:t>
      </w:r>
      <w:r w:rsidR="00EA6071" w:rsidRPr="008E79B3">
        <w:rPr>
          <w:rFonts w:ascii="Arial" w:eastAsia="Times New Roman" w:hAnsi="Arial" w:cs="Arial"/>
          <w:sz w:val="24"/>
          <w:szCs w:val="24"/>
          <w:lang w:eastAsia="it-IT"/>
        </w:rPr>
        <w:t>emissioni di gas serra del 2005</w:t>
      </w:r>
      <w:r w:rsidR="00EA6071" w:rsidRPr="008E79B3">
        <w:rPr>
          <w:rStyle w:val="Rimandonotaapidipagina"/>
          <w:rFonts w:ascii="Arial" w:eastAsia="Times New Roman" w:hAnsi="Arial" w:cs="Arial"/>
          <w:sz w:val="24"/>
          <w:szCs w:val="24"/>
          <w:lang w:eastAsia="it-IT"/>
        </w:rPr>
        <w:footnoteReference w:id="25"/>
      </w:r>
      <w:r w:rsidR="00EA6071" w:rsidRPr="008E79B3">
        <w:rPr>
          <w:rFonts w:ascii="Arial" w:eastAsia="Times New Roman" w:hAnsi="Arial" w:cs="Arial"/>
          <w:sz w:val="24"/>
          <w:szCs w:val="24"/>
          <w:lang w:eastAsia="it-IT"/>
        </w:rPr>
        <w:t>.</w:t>
      </w:r>
    </w:p>
    <w:p w14:paraId="640715ED" w14:textId="4E7CADF3" w:rsidR="00B4063C" w:rsidRDefault="00B4063C" w:rsidP="00C72B4C">
      <w:pPr>
        <w:pStyle w:val="Corpotesto"/>
        <w:ind w:right="45" w:firstLine="567"/>
        <w:jc w:val="both"/>
        <w:rPr>
          <w:rFonts w:ascii="Arial" w:eastAsia="Times New Roman" w:hAnsi="Arial" w:cs="Arial"/>
          <w:sz w:val="24"/>
          <w:szCs w:val="24"/>
          <w:lang w:eastAsia="it-IT"/>
        </w:rPr>
      </w:pPr>
      <w:r w:rsidRPr="008E79B3">
        <w:rPr>
          <w:rFonts w:ascii="Arial" w:eastAsia="Times New Roman" w:hAnsi="Arial" w:cs="Arial"/>
          <w:sz w:val="24"/>
          <w:szCs w:val="24"/>
          <w:lang w:eastAsia="it-IT"/>
        </w:rPr>
        <w:t xml:space="preserve">Nel Regolamento </w:t>
      </w:r>
      <w:r w:rsidR="00634ED8" w:rsidRPr="008E79B3">
        <w:rPr>
          <w:rFonts w:ascii="Arial" w:eastAsia="Times New Roman" w:hAnsi="Arial" w:cs="Arial"/>
          <w:sz w:val="24"/>
          <w:szCs w:val="24"/>
          <w:lang w:eastAsia="it-IT"/>
        </w:rPr>
        <w:t>525/2913 sono esplicitamente incluse, tra le attività che hanno un effetto sulle emissioni e la riduzione dei gas serra, anche le attività del settore LULUCF</w:t>
      </w:r>
      <w:r w:rsidR="009744FB" w:rsidRPr="008E79B3">
        <w:rPr>
          <w:rFonts w:ascii="Arial" w:eastAsia="Times New Roman" w:hAnsi="Arial" w:cs="Arial"/>
          <w:sz w:val="24"/>
          <w:szCs w:val="24"/>
          <w:lang w:eastAsia="it-IT"/>
        </w:rPr>
        <w:t>. Non a caso, in parallelo a questo Regolamento</w:t>
      </w:r>
      <w:r w:rsidR="009744FB">
        <w:rPr>
          <w:rFonts w:ascii="Arial" w:eastAsia="Times New Roman" w:hAnsi="Arial" w:cs="Arial"/>
          <w:sz w:val="24"/>
          <w:szCs w:val="24"/>
          <w:lang w:eastAsia="it-IT"/>
        </w:rPr>
        <w:t xml:space="preserve">, esce in contemporanea </w:t>
      </w:r>
      <w:r w:rsidR="00143F97">
        <w:rPr>
          <w:rFonts w:ascii="Arial" w:eastAsia="Times New Roman" w:hAnsi="Arial" w:cs="Arial"/>
          <w:sz w:val="24"/>
          <w:szCs w:val="24"/>
          <w:lang w:eastAsia="it-IT"/>
        </w:rPr>
        <w:t>la Decisione UE</w:t>
      </w:r>
      <w:r w:rsidR="009744FB">
        <w:rPr>
          <w:rFonts w:ascii="Arial" w:eastAsia="Times New Roman" w:hAnsi="Arial" w:cs="Arial"/>
          <w:sz w:val="24"/>
          <w:szCs w:val="24"/>
          <w:lang w:eastAsia="it-IT"/>
        </w:rPr>
        <w:t xml:space="preserve"> 529/2013 che descrive </w:t>
      </w:r>
      <w:r w:rsidR="001613E2">
        <w:rPr>
          <w:rFonts w:ascii="Arial" w:eastAsia="Times New Roman" w:hAnsi="Arial" w:cs="Arial"/>
          <w:sz w:val="24"/>
          <w:szCs w:val="24"/>
          <w:lang w:eastAsia="it-IT"/>
        </w:rPr>
        <w:t xml:space="preserve">le norme per la contabilizzazione </w:t>
      </w:r>
      <w:r w:rsidR="00A16315">
        <w:rPr>
          <w:rFonts w:ascii="Arial" w:eastAsia="Times New Roman" w:hAnsi="Arial" w:cs="Arial"/>
          <w:sz w:val="24"/>
          <w:szCs w:val="24"/>
          <w:lang w:eastAsia="it-IT"/>
        </w:rPr>
        <w:t xml:space="preserve">delle emissioni e dello stoccaggio dei gas GHG nel settore LULUCF. </w:t>
      </w:r>
      <w:r w:rsidR="001608B3">
        <w:rPr>
          <w:rFonts w:ascii="Arial" w:eastAsia="Times New Roman" w:hAnsi="Arial" w:cs="Arial"/>
          <w:sz w:val="24"/>
          <w:szCs w:val="24"/>
          <w:lang w:eastAsia="it-IT"/>
        </w:rPr>
        <w:t>Tale Regolamento non viene qui approfondito perché, pur</w:t>
      </w:r>
      <w:r w:rsidR="00DC3F51">
        <w:rPr>
          <w:rFonts w:ascii="Arial" w:eastAsia="Times New Roman" w:hAnsi="Arial" w:cs="Arial"/>
          <w:sz w:val="24"/>
          <w:szCs w:val="24"/>
          <w:lang w:eastAsia="it-IT"/>
        </w:rPr>
        <w:t xml:space="preserve"> essendo ancora in vigore, </w:t>
      </w:r>
      <w:r w:rsidR="00C66343">
        <w:rPr>
          <w:rFonts w:ascii="Arial" w:eastAsia="Times New Roman" w:hAnsi="Arial" w:cs="Arial"/>
          <w:sz w:val="24"/>
          <w:szCs w:val="24"/>
          <w:lang w:eastAsia="it-IT"/>
        </w:rPr>
        <w:t xml:space="preserve">è superato dal Regolamento </w:t>
      </w:r>
      <w:r w:rsidR="00721B7C">
        <w:rPr>
          <w:rFonts w:ascii="Arial" w:eastAsia="Times New Roman" w:hAnsi="Arial" w:cs="Arial"/>
          <w:sz w:val="24"/>
          <w:szCs w:val="24"/>
          <w:lang w:eastAsia="it-IT"/>
        </w:rPr>
        <w:t>841/2018 che verrà ampiamente discusso più oltre.</w:t>
      </w:r>
    </w:p>
    <w:p w14:paraId="23A5EE54" w14:textId="725B5711" w:rsidR="008C69CA" w:rsidRDefault="008C69CA" w:rsidP="00C72B4C">
      <w:pPr>
        <w:pStyle w:val="Corpotesto"/>
        <w:ind w:right="45" w:firstLine="567"/>
        <w:jc w:val="both"/>
        <w:rPr>
          <w:rFonts w:ascii="Arial" w:eastAsia="Times New Roman" w:hAnsi="Arial" w:cs="Arial"/>
          <w:sz w:val="24"/>
          <w:szCs w:val="24"/>
          <w:lang w:eastAsia="it-IT"/>
        </w:rPr>
      </w:pPr>
      <w:r>
        <w:rPr>
          <w:rFonts w:ascii="Arial" w:eastAsia="Times New Roman" w:hAnsi="Arial" w:cs="Arial"/>
          <w:sz w:val="24"/>
          <w:szCs w:val="24"/>
          <w:lang w:eastAsia="it-IT"/>
        </w:rPr>
        <w:t>In sintesi, gli element</w:t>
      </w:r>
      <w:r w:rsidR="00626BDB">
        <w:rPr>
          <w:rFonts w:ascii="Arial" w:eastAsia="Times New Roman" w:hAnsi="Arial" w:cs="Arial"/>
          <w:sz w:val="24"/>
          <w:szCs w:val="24"/>
          <w:lang w:eastAsia="it-IT"/>
        </w:rPr>
        <w:t>i</w:t>
      </w:r>
      <w:r w:rsidR="00E84E04">
        <w:rPr>
          <w:rFonts w:ascii="Arial" w:eastAsia="Times New Roman" w:hAnsi="Arial" w:cs="Arial"/>
          <w:sz w:val="24"/>
          <w:szCs w:val="24"/>
          <w:lang w:eastAsia="it-IT"/>
        </w:rPr>
        <w:t xml:space="preserve"> più important</w:t>
      </w:r>
      <w:r>
        <w:rPr>
          <w:rFonts w:ascii="Arial" w:eastAsia="Times New Roman" w:hAnsi="Arial" w:cs="Arial"/>
          <w:sz w:val="24"/>
          <w:szCs w:val="24"/>
          <w:lang w:eastAsia="it-IT"/>
        </w:rPr>
        <w:t>i</w:t>
      </w:r>
      <w:r w:rsidR="00E84E04">
        <w:rPr>
          <w:rFonts w:ascii="Arial" w:eastAsia="Times New Roman" w:hAnsi="Arial" w:cs="Arial"/>
          <w:sz w:val="24"/>
          <w:szCs w:val="24"/>
          <w:lang w:eastAsia="it-IT"/>
        </w:rPr>
        <w:t xml:space="preserve"> che </w:t>
      </w:r>
      <w:r w:rsidR="00DE7C3B">
        <w:rPr>
          <w:rFonts w:ascii="Arial" w:eastAsia="Times New Roman" w:hAnsi="Arial" w:cs="Arial"/>
          <w:sz w:val="24"/>
          <w:szCs w:val="24"/>
          <w:lang w:eastAsia="it-IT"/>
        </w:rPr>
        <w:t>emerg</w:t>
      </w:r>
      <w:r>
        <w:rPr>
          <w:rFonts w:ascii="Arial" w:eastAsia="Times New Roman" w:hAnsi="Arial" w:cs="Arial"/>
          <w:sz w:val="24"/>
          <w:szCs w:val="24"/>
          <w:lang w:eastAsia="it-IT"/>
        </w:rPr>
        <w:t>ono</w:t>
      </w:r>
      <w:r w:rsidR="00DE7C3B">
        <w:rPr>
          <w:rFonts w:ascii="Arial" w:eastAsia="Times New Roman" w:hAnsi="Arial" w:cs="Arial"/>
          <w:sz w:val="24"/>
          <w:szCs w:val="24"/>
          <w:lang w:eastAsia="it-IT"/>
        </w:rPr>
        <w:t xml:space="preserve"> dal Regolamento 525/2013 </w:t>
      </w:r>
      <w:r>
        <w:rPr>
          <w:rFonts w:ascii="Arial" w:eastAsia="Times New Roman" w:hAnsi="Arial" w:cs="Arial"/>
          <w:sz w:val="24"/>
          <w:szCs w:val="24"/>
          <w:lang w:eastAsia="it-IT"/>
        </w:rPr>
        <w:t>sono:</w:t>
      </w:r>
    </w:p>
    <w:p w14:paraId="65DDAD10" w14:textId="05377075" w:rsidR="00E84E04" w:rsidRDefault="00DE7C3B" w:rsidP="00076117">
      <w:pPr>
        <w:pStyle w:val="Corpotesto"/>
        <w:numPr>
          <w:ilvl w:val="0"/>
          <w:numId w:val="13"/>
        </w:numPr>
        <w:ind w:right="45"/>
        <w:jc w:val="both"/>
        <w:rPr>
          <w:rFonts w:ascii="Arial" w:eastAsia="Times New Roman" w:hAnsi="Arial" w:cs="Arial"/>
          <w:sz w:val="24"/>
          <w:szCs w:val="24"/>
          <w:lang w:eastAsia="it-IT"/>
        </w:rPr>
      </w:pPr>
      <w:r>
        <w:rPr>
          <w:rFonts w:ascii="Arial" w:eastAsia="Times New Roman" w:hAnsi="Arial" w:cs="Arial"/>
          <w:sz w:val="24"/>
          <w:szCs w:val="24"/>
          <w:lang w:eastAsia="it-IT"/>
        </w:rPr>
        <w:t>per la prima volta viene istituito un Registro Europeo dei gas serra</w:t>
      </w:r>
      <w:r w:rsidR="004B4684">
        <w:rPr>
          <w:rFonts w:ascii="Arial" w:eastAsia="Times New Roman" w:hAnsi="Arial" w:cs="Arial"/>
          <w:sz w:val="24"/>
          <w:szCs w:val="24"/>
          <w:lang w:eastAsia="it-IT"/>
        </w:rPr>
        <w:t xml:space="preserve">, che obbliga gli SM a realizzare degli Inventari dei gas serra </w:t>
      </w:r>
      <w:r w:rsidR="008467B6">
        <w:rPr>
          <w:rFonts w:ascii="Arial" w:eastAsia="Times New Roman" w:hAnsi="Arial" w:cs="Arial"/>
          <w:sz w:val="24"/>
          <w:szCs w:val="24"/>
          <w:lang w:eastAsia="it-IT"/>
        </w:rPr>
        <w:t>per i singoli SM e confrontarli con precisi obbiettivi di riduzione delle emissioni;</w:t>
      </w:r>
    </w:p>
    <w:p w14:paraId="6284F20C" w14:textId="2C90DBCC" w:rsidR="008467B6" w:rsidRDefault="000A1996" w:rsidP="00076117">
      <w:pPr>
        <w:pStyle w:val="Corpotesto"/>
        <w:numPr>
          <w:ilvl w:val="0"/>
          <w:numId w:val="13"/>
        </w:numPr>
        <w:ind w:right="45"/>
        <w:jc w:val="both"/>
        <w:rPr>
          <w:rFonts w:ascii="Arial" w:eastAsia="Times New Roman" w:hAnsi="Arial" w:cs="Arial"/>
          <w:sz w:val="24"/>
          <w:szCs w:val="24"/>
          <w:lang w:eastAsia="it-IT"/>
        </w:rPr>
      </w:pPr>
      <w:r>
        <w:rPr>
          <w:rFonts w:ascii="Arial" w:eastAsia="Times New Roman" w:hAnsi="Arial" w:cs="Arial"/>
          <w:sz w:val="24"/>
          <w:szCs w:val="24"/>
          <w:lang w:eastAsia="it-IT"/>
        </w:rPr>
        <w:t>l</w:t>
      </w:r>
      <w:r w:rsidR="00171B2C">
        <w:rPr>
          <w:rFonts w:ascii="Arial" w:eastAsia="Times New Roman" w:hAnsi="Arial" w:cs="Arial"/>
          <w:sz w:val="24"/>
          <w:szCs w:val="24"/>
          <w:lang w:eastAsia="it-IT"/>
        </w:rPr>
        <w:t xml:space="preserve">e allocazioni del mercato EU ETS per ogni singolo SM sono parte di questo </w:t>
      </w:r>
      <w:r w:rsidR="00626BDB">
        <w:rPr>
          <w:rFonts w:ascii="Arial" w:eastAsia="Times New Roman" w:hAnsi="Arial" w:cs="Arial"/>
          <w:sz w:val="24"/>
          <w:szCs w:val="24"/>
          <w:lang w:eastAsia="it-IT"/>
        </w:rPr>
        <w:t>Inventario</w:t>
      </w:r>
      <w:r w:rsidR="00BF530F">
        <w:rPr>
          <w:rFonts w:ascii="Arial" w:eastAsia="Times New Roman" w:hAnsi="Arial" w:cs="Arial"/>
          <w:sz w:val="24"/>
          <w:szCs w:val="24"/>
          <w:lang w:eastAsia="it-IT"/>
        </w:rPr>
        <w:t xml:space="preserve">, che si compone quindi di </w:t>
      </w:r>
      <w:r w:rsidR="001C56DA">
        <w:rPr>
          <w:rFonts w:ascii="Arial" w:eastAsia="Times New Roman" w:hAnsi="Arial" w:cs="Arial"/>
          <w:sz w:val="24"/>
          <w:szCs w:val="24"/>
          <w:lang w:eastAsia="it-IT"/>
        </w:rPr>
        <w:t>due aree: l’area emissioni GHG EU ETS, che ha obbiet</w:t>
      </w:r>
      <w:r w:rsidR="003622FE">
        <w:rPr>
          <w:rFonts w:ascii="Arial" w:eastAsia="Times New Roman" w:hAnsi="Arial" w:cs="Arial"/>
          <w:sz w:val="24"/>
          <w:szCs w:val="24"/>
          <w:lang w:eastAsia="it-IT"/>
        </w:rPr>
        <w:t>tivi di riduzione di -43% nel 2030</w:t>
      </w:r>
      <w:r w:rsidR="004D5D36">
        <w:rPr>
          <w:rFonts w:ascii="Arial" w:eastAsia="Times New Roman" w:hAnsi="Arial" w:cs="Arial"/>
          <w:sz w:val="24"/>
          <w:szCs w:val="24"/>
          <w:lang w:eastAsia="it-IT"/>
        </w:rPr>
        <w:t xml:space="preserve"> e l’area ESR</w:t>
      </w:r>
      <w:r w:rsidR="00B82441">
        <w:rPr>
          <w:rFonts w:ascii="Arial" w:eastAsia="Times New Roman" w:hAnsi="Arial" w:cs="Arial"/>
          <w:sz w:val="24"/>
          <w:szCs w:val="24"/>
          <w:lang w:eastAsia="it-IT"/>
        </w:rPr>
        <w:t xml:space="preserve"> che l’obbiettivo di riduzione per i settori non ETS del -33%</w:t>
      </w:r>
      <w:r w:rsidR="00626BDB">
        <w:rPr>
          <w:rFonts w:ascii="Arial" w:eastAsia="Times New Roman" w:hAnsi="Arial" w:cs="Arial"/>
          <w:sz w:val="24"/>
          <w:szCs w:val="24"/>
          <w:lang w:eastAsia="it-IT"/>
        </w:rPr>
        <w:t>;</w:t>
      </w:r>
    </w:p>
    <w:p w14:paraId="74F7FE5B" w14:textId="1FDE3010" w:rsidR="00626BDB" w:rsidRDefault="00626BDB" w:rsidP="00076117">
      <w:pPr>
        <w:pStyle w:val="Corpotesto"/>
        <w:numPr>
          <w:ilvl w:val="0"/>
          <w:numId w:val="13"/>
        </w:numPr>
        <w:ind w:right="45"/>
        <w:jc w:val="both"/>
        <w:rPr>
          <w:rFonts w:ascii="Arial" w:eastAsia="Times New Roman" w:hAnsi="Arial" w:cs="Arial"/>
          <w:sz w:val="24"/>
          <w:szCs w:val="24"/>
          <w:lang w:eastAsia="it-IT"/>
        </w:rPr>
      </w:pPr>
      <w:r>
        <w:rPr>
          <w:rFonts w:ascii="Arial" w:eastAsia="Times New Roman" w:hAnsi="Arial" w:cs="Arial"/>
          <w:sz w:val="24"/>
          <w:szCs w:val="24"/>
          <w:lang w:eastAsia="it-IT"/>
        </w:rPr>
        <w:t>il settore LULUCF concorre a definire il raggi</w:t>
      </w:r>
      <w:r w:rsidR="000A1996">
        <w:rPr>
          <w:rFonts w:ascii="Arial" w:eastAsia="Times New Roman" w:hAnsi="Arial" w:cs="Arial"/>
          <w:sz w:val="24"/>
          <w:szCs w:val="24"/>
          <w:lang w:eastAsia="it-IT"/>
        </w:rPr>
        <w:t>u</w:t>
      </w:r>
      <w:r>
        <w:rPr>
          <w:rFonts w:ascii="Arial" w:eastAsia="Times New Roman" w:hAnsi="Arial" w:cs="Arial"/>
          <w:sz w:val="24"/>
          <w:szCs w:val="24"/>
          <w:lang w:eastAsia="it-IT"/>
        </w:rPr>
        <w:t>ngimento degli obbiettivi</w:t>
      </w:r>
      <w:r w:rsidR="000A1996">
        <w:rPr>
          <w:rFonts w:ascii="Arial" w:eastAsia="Times New Roman" w:hAnsi="Arial" w:cs="Arial"/>
          <w:sz w:val="24"/>
          <w:szCs w:val="24"/>
          <w:lang w:eastAsia="it-IT"/>
        </w:rPr>
        <w:t xml:space="preserve"> stabiliti </w:t>
      </w:r>
      <w:r w:rsidR="00B82441">
        <w:rPr>
          <w:rFonts w:ascii="Arial" w:eastAsia="Times New Roman" w:hAnsi="Arial" w:cs="Arial"/>
          <w:sz w:val="24"/>
          <w:szCs w:val="24"/>
          <w:lang w:eastAsia="it-IT"/>
        </w:rPr>
        <w:t>nell</w:t>
      </w:r>
      <w:r w:rsidR="005133F2">
        <w:rPr>
          <w:rFonts w:ascii="Arial" w:eastAsia="Times New Roman" w:hAnsi="Arial" w:cs="Arial"/>
          <w:sz w:val="24"/>
          <w:szCs w:val="24"/>
          <w:lang w:eastAsia="it-IT"/>
        </w:rPr>
        <w:t xml:space="preserve">’ESR </w:t>
      </w:r>
      <w:r w:rsidR="000A1996">
        <w:rPr>
          <w:rFonts w:ascii="Arial" w:eastAsia="Times New Roman" w:hAnsi="Arial" w:cs="Arial"/>
          <w:sz w:val="24"/>
          <w:szCs w:val="24"/>
          <w:lang w:eastAsia="it-IT"/>
        </w:rPr>
        <w:t xml:space="preserve">per lo SM. </w:t>
      </w:r>
    </w:p>
    <w:p w14:paraId="78500A17" w14:textId="31A01CF3" w:rsidR="000A1996" w:rsidRDefault="000A1996" w:rsidP="00C72B4C">
      <w:pPr>
        <w:pStyle w:val="Corpotesto"/>
        <w:ind w:right="45" w:firstLine="567"/>
        <w:jc w:val="both"/>
        <w:rPr>
          <w:rFonts w:ascii="Arial" w:eastAsia="Times New Roman" w:hAnsi="Arial" w:cs="Arial"/>
          <w:sz w:val="24"/>
          <w:szCs w:val="24"/>
          <w:lang w:eastAsia="it-IT"/>
        </w:rPr>
      </w:pPr>
    </w:p>
    <w:p w14:paraId="6AE553B4" w14:textId="24380CF2" w:rsidR="00413CCC" w:rsidRDefault="00413CCC" w:rsidP="00C72B4C">
      <w:pPr>
        <w:pStyle w:val="Corpotesto"/>
        <w:ind w:right="45" w:firstLine="567"/>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Ne consegue che </w:t>
      </w:r>
      <w:r w:rsidR="00A3389A">
        <w:rPr>
          <w:rFonts w:ascii="Arial" w:eastAsia="Times New Roman" w:hAnsi="Arial" w:cs="Arial"/>
          <w:sz w:val="24"/>
          <w:szCs w:val="24"/>
          <w:lang w:eastAsia="it-IT"/>
        </w:rPr>
        <w:t>il sistema delle quote del mercato EU ETS</w:t>
      </w:r>
      <w:r w:rsidR="00BA5E61">
        <w:rPr>
          <w:rFonts w:ascii="Arial" w:eastAsia="Times New Roman" w:hAnsi="Arial" w:cs="Arial"/>
          <w:sz w:val="24"/>
          <w:szCs w:val="24"/>
          <w:lang w:eastAsia="it-IT"/>
        </w:rPr>
        <w:t xml:space="preserve"> e, più in generale, delle quote che ogni SM deve gestire al proprio interno per il raggiungimento degli obbiettivi</w:t>
      </w:r>
      <w:r w:rsidR="00FC09D8">
        <w:rPr>
          <w:rFonts w:ascii="Arial" w:eastAsia="Times New Roman" w:hAnsi="Arial" w:cs="Arial"/>
          <w:sz w:val="24"/>
          <w:szCs w:val="24"/>
          <w:lang w:eastAsia="it-IT"/>
        </w:rPr>
        <w:t xml:space="preserve"> europei sono definiti all’interno di questo nuovo </w:t>
      </w:r>
      <w:r w:rsidR="004E0CEA">
        <w:rPr>
          <w:rFonts w:ascii="Arial" w:eastAsia="Times New Roman" w:hAnsi="Arial" w:cs="Arial"/>
          <w:sz w:val="24"/>
          <w:szCs w:val="24"/>
          <w:lang w:eastAsia="it-IT"/>
        </w:rPr>
        <w:t xml:space="preserve">Inventario, al quale concorre anche il settore LULUCF. </w:t>
      </w:r>
      <w:r w:rsidR="00B7151E">
        <w:rPr>
          <w:rFonts w:ascii="Arial" w:eastAsia="Times New Roman" w:hAnsi="Arial" w:cs="Arial"/>
          <w:sz w:val="24"/>
          <w:szCs w:val="24"/>
          <w:lang w:eastAsia="it-IT"/>
        </w:rPr>
        <w:t>È</w:t>
      </w:r>
      <w:r w:rsidR="000655EB">
        <w:rPr>
          <w:rFonts w:ascii="Arial" w:eastAsia="Times New Roman" w:hAnsi="Arial" w:cs="Arial"/>
          <w:sz w:val="24"/>
          <w:szCs w:val="24"/>
          <w:lang w:eastAsia="it-IT"/>
        </w:rPr>
        <w:t xml:space="preserve"> quindi necessario valutare come vengono contabilizzate </w:t>
      </w:r>
      <w:proofErr w:type="gramStart"/>
      <w:r w:rsidR="000655EB">
        <w:rPr>
          <w:rFonts w:ascii="Arial" w:eastAsia="Times New Roman" w:hAnsi="Arial" w:cs="Arial"/>
          <w:sz w:val="24"/>
          <w:szCs w:val="24"/>
          <w:lang w:eastAsia="it-IT"/>
        </w:rPr>
        <w:t>le</w:t>
      </w:r>
      <w:r w:rsidR="008378F0">
        <w:rPr>
          <w:rFonts w:ascii="Arial" w:eastAsia="Times New Roman" w:hAnsi="Arial" w:cs="Arial"/>
          <w:sz w:val="24"/>
          <w:szCs w:val="24"/>
          <w:lang w:eastAsia="it-IT"/>
        </w:rPr>
        <w:t xml:space="preserve"> ton</w:t>
      </w:r>
      <w:proofErr w:type="gramEnd"/>
      <w:r w:rsidR="008378F0">
        <w:rPr>
          <w:rFonts w:ascii="Arial" w:eastAsia="Times New Roman" w:hAnsi="Arial" w:cs="Arial"/>
          <w:sz w:val="24"/>
          <w:szCs w:val="24"/>
          <w:lang w:eastAsia="it-IT"/>
        </w:rPr>
        <w:t xml:space="preserve"> di CO</w:t>
      </w:r>
      <w:r w:rsidR="008378F0" w:rsidRPr="00423453">
        <w:rPr>
          <w:rFonts w:ascii="Arial" w:eastAsia="Times New Roman" w:hAnsi="Arial" w:cs="Arial"/>
          <w:sz w:val="24"/>
          <w:szCs w:val="24"/>
          <w:vertAlign w:val="subscript"/>
          <w:lang w:eastAsia="it-IT"/>
        </w:rPr>
        <w:t>2</w:t>
      </w:r>
      <w:r w:rsidR="008378F0">
        <w:rPr>
          <w:rFonts w:ascii="Arial" w:eastAsia="Times New Roman" w:hAnsi="Arial" w:cs="Arial"/>
          <w:sz w:val="24"/>
          <w:szCs w:val="24"/>
          <w:lang w:eastAsia="it-IT"/>
        </w:rPr>
        <w:t xml:space="preserve"> </w:t>
      </w:r>
      <w:proofErr w:type="spellStart"/>
      <w:r w:rsidR="008378F0">
        <w:rPr>
          <w:rFonts w:ascii="Arial" w:eastAsia="Times New Roman" w:hAnsi="Arial" w:cs="Arial"/>
          <w:sz w:val="24"/>
          <w:szCs w:val="24"/>
          <w:lang w:eastAsia="it-IT"/>
        </w:rPr>
        <w:t>eq</w:t>
      </w:r>
      <w:proofErr w:type="spellEnd"/>
      <w:r w:rsidR="008378F0">
        <w:rPr>
          <w:rFonts w:ascii="Arial" w:eastAsia="Times New Roman" w:hAnsi="Arial" w:cs="Arial"/>
          <w:sz w:val="24"/>
          <w:szCs w:val="24"/>
          <w:lang w:eastAsia="it-IT"/>
        </w:rPr>
        <w:t xml:space="preserve">. provenienti dal settore LULUCF per comprendere </w:t>
      </w:r>
      <w:r w:rsidR="008378F0" w:rsidRPr="00247E79">
        <w:rPr>
          <w:rFonts w:ascii="Arial" w:eastAsia="Times New Roman" w:hAnsi="Arial" w:cs="Arial"/>
          <w:i/>
          <w:iCs/>
          <w:sz w:val="24"/>
          <w:szCs w:val="24"/>
          <w:lang w:eastAsia="it-IT"/>
        </w:rPr>
        <w:t>co</w:t>
      </w:r>
      <w:r w:rsidR="00E61DEC" w:rsidRPr="00247E79">
        <w:rPr>
          <w:rFonts w:ascii="Arial" w:eastAsia="Times New Roman" w:hAnsi="Arial" w:cs="Arial"/>
          <w:i/>
          <w:iCs/>
          <w:sz w:val="24"/>
          <w:szCs w:val="24"/>
          <w:lang w:eastAsia="it-IT"/>
        </w:rPr>
        <w:t>me</w:t>
      </w:r>
      <w:r w:rsidR="00247E79" w:rsidRPr="00247E79">
        <w:rPr>
          <w:rFonts w:ascii="Arial" w:eastAsia="Times New Roman" w:hAnsi="Arial" w:cs="Arial"/>
          <w:i/>
          <w:iCs/>
          <w:sz w:val="24"/>
          <w:szCs w:val="24"/>
          <w:lang w:eastAsia="it-IT"/>
        </w:rPr>
        <w:t xml:space="preserve"> e se</w:t>
      </w:r>
      <w:r w:rsidR="00E61DEC">
        <w:rPr>
          <w:rFonts w:ascii="Arial" w:eastAsia="Times New Roman" w:hAnsi="Arial" w:cs="Arial"/>
          <w:sz w:val="24"/>
          <w:szCs w:val="24"/>
          <w:lang w:eastAsia="it-IT"/>
        </w:rPr>
        <w:t xml:space="preserve"> la gestione forestale sostenibile possa concorrere al loro incremento e</w:t>
      </w:r>
      <w:r w:rsidR="00321ECF">
        <w:rPr>
          <w:rFonts w:ascii="Arial" w:eastAsia="Times New Roman" w:hAnsi="Arial" w:cs="Arial"/>
          <w:sz w:val="24"/>
          <w:szCs w:val="24"/>
          <w:lang w:eastAsia="it-IT"/>
        </w:rPr>
        <w:t xml:space="preserve"> come, a fronte di questo incremento, sia possibile generare dei Crediti di Sostenibilità</w:t>
      </w:r>
      <w:r w:rsidR="007A0ADE">
        <w:rPr>
          <w:rFonts w:ascii="Arial" w:eastAsia="Times New Roman" w:hAnsi="Arial" w:cs="Arial"/>
          <w:sz w:val="24"/>
          <w:szCs w:val="24"/>
          <w:lang w:eastAsia="it-IT"/>
        </w:rPr>
        <w:t xml:space="preserve"> o se questi debbano essere contabilizzati in modo completamente diff</w:t>
      </w:r>
      <w:r w:rsidR="003F0A04">
        <w:rPr>
          <w:rFonts w:ascii="Arial" w:eastAsia="Times New Roman" w:hAnsi="Arial" w:cs="Arial"/>
          <w:sz w:val="24"/>
          <w:szCs w:val="24"/>
          <w:lang w:eastAsia="it-IT"/>
        </w:rPr>
        <w:t>erente</w:t>
      </w:r>
      <w:r w:rsidR="00321ECF">
        <w:rPr>
          <w:rFonts w:ascii="Arial" w:eastAsia="Times New Roman" w:hAnsi="Arial" w:cs="Arial"/>
          <w:sz w:val="24"/>
          <w:szCs w:val="24"/>
          <w:lang w:eastAsia="it-IT"/>
        </w:rPr>
        <w:t xml:space="preserve">. Questi elementi verranno sviluppati in dettaglio </w:t>
      </w:r>
      <w:r w:rsidR="00C94071">
        <w:rPr>
          <w:rFonts w:ascii="Arial" w:eastAsia="Times New Roman" w:hAnsi="Arial" w:cs="Arial"/>
          <w:sz w:val="24"/>
          <w:szCs w:val="24"/>
          <w:lang w:eastAsia="it-IT"/>
        </w:rPr>
        <w:t xml:space="preserve">nei capitoli successivi. </w:t>
      </w:r>
    </w:p>
    <w:p w14:paraId="66837536" w14:textId="7400AF30" w:rsidR="000A1996" w:rsidRDefault="000A1996" w:rsidP="00C72B4C">
      <w:pPr>
        <w:pStyle w:val="Corpotesto"/>
        <w:ind w:right="45" w:firstLine="567"/>
        <w:jc w:val="both"/>
        <w:rPr>
          <w:rFonts w:ascii="Arial" w:eastAsia="Times New Roman" w:hAnsi="Arial" w:cs="Arial"/>
          <w:sz w:val="24"/>
          <w:szCs w:val="24"/>
          <w:lang w:eastAsia="it-IT"/>
        </w:rPr>
      </w:pPr>
      <w:r>
        <w:rPr>
          <w:rFonts w:ascii="Arial" w:eastAsia="Times New Roman" w:hAnsi="Arial" w:cs="Arial"/>
          <w:sz w:val="24"/>
          <w:szCs w:val="24"/>
          <w:lang w:eastAsia="it-IT"/>
        </w:rPr>
        <w:t>Per l’Italia, la gestione dell’Inventario</w:t>
      </w:r>
      <w:r w:rsidR="00C94071">
        <w:rPr>
          <w:rFonts w:ascii="Arial" w:eastAsia="Times New Roman" w:hAnsi="Arial" w:cs="Arial"/>
          <w:sz w:val="24"/>
          <w:szCs w:val="24"/>
          <w:lang w:eastAsia="it-IT"/>
        </w:rPr>
        <w:t xml:space="preserve"> Nazionale</w:t>
      </w:r>
      <w:r>
        <w:rPr>
          <w:rFonts w:ascii="Arial" w:eastAsia="Times New Roman" w:hAnsi="Arial" w:cs="Arial"/>
          <w:sz w:val="24"/>
          <w:szCs w:val="24"/>
          <w:lang w:eastAsia="it-IT"/>
        </w:rPr>
        <w:t xml:space="preserve"> dei Gas Serra è demandata all’ISPRA.</w:t>
      </w:r>
    </w:p>
    <w:p w14:paraId="5F39F707" w14:textId="4DC6AA73" w:rsidR="000B3CD6" w:rsidRDefault="000B3CD6" w:rsidP="006332E1">
      <w:pPr>
        <w:pStyle w:val="Corpotesto"/>
        <w:ind w:right="45"/>
        <w:jc w:val="both"/>
        <w:rPr>
          <w:rFonts w:ascii="Arial" w:hAnsi="Arial" w:cs="Arial"/>
          <w:sz w:val="24"/>
          <w:szCs w:val="24"/>
        </w:rPr>
      </w:pPr>
    </w:p>
    <w:p w14:paraId="5985DD03" w14:textId="7F7C90C1" w:rsidR="000B3CD6" w:rsidRDefault="000B3CD6" w:rsidP="006332E1">
      <w:pPr>
        <w:pStyle w:val="Corpotesto"/>
        <w:ind w:right="45"/>
        <w:jc w:val="both"/>
        <w:rPr>
          <w:rFonts w:ascii="Arial" w:hAnsi="Arial" w:cs="Arial"/>
          <w:sz w:val="24"/>
          <w:szCs w:val="24"/>
        </w:rPr>
      </w:pPr>
    </w:p>
    <w:p w14:paraId="68CA460E" w14:textId="126409FC" w:rsidR="000B3CD6" w:rsidRDefault="00AA75E2" w:rsidP="00F02D82">
      <w:pPr>
        <w:pStyle w:val="Titolo2"/>
      </w:pPr>
      <w:bookmarkStart w:id="3" w:name="_Toc74265392"/>
      <w:r>
        <w:t xml:space="preserve">La direttiva </w:t>
      </w:r>
      <w:r w:rsidR="00F02D82">
        <w:t>2004/101/CE</w:t>
      </w:r>
      <w:bookmarkEnd w:id="3"/>
    </w:p>
    <w:p w14:paraId="00595B22" w14:textId="0BFB0755" w:rsidR="000B3CD6" w:rsidRDefault="000B3CD6" w:rsidP="006332E1">
      <w:pPr>
        <w:pStyle w:val="Corpotesto"/>
        <w:ind w:right="45"/>
        <w:jc w:val="both"/>
        <w:rPr>
          <w:rFonts w:ascii="Arial" w:hAnsi="Arial" w:cs="Arial"/>
          <w:sz w:val="24"/>
          <w:szCs w:val="24"/>
        </w:rPr>
      </w:pPr>
    </w:p>
    <w:p w14:paraId="7B3E28DE" w14:textId="001972E7" w:rsidR="008E0423" w:rsidRPr="008E0423" w:rsidRDefault="008E0423" w:rsidP="00EA378E">
      <w:pPr>
        <w:pStyle w:val="Corpotesto"/>
        <w:ind w:right="45" w:firstLine="567"/>
        <w:jc w:val="both"/>
        <w:rPr>
          <w:rFonts w:ascii="Arial" w:hAnsi="Arial" w:cs="Arial"/>
          <w:sz w:val="24"/>
          <w:szCs w:val="24"/>
        </w:rPr>
      </w:pPr>
      <w:r w:rsidRPr="008E0423">
        <w:rPr>
          <w:rFonts w:ascii="Arial" w:hAnsi="Arial" w:cs="Arial"/>
          <w:sz w:val="24"/>
          <w:szCs w:val="24"/>
        </w:rPr>
        <w:t xml:space="preserve">La direttiva </w:t>
      </w:r>
      <w:r w:rsidRPr="008E0423">
        <w:rPr>
          <w:rFonts w:ascii="Arial" w:hAnsi="Arial" w:cs="Arial"/>
          <w:b/>
          <w:bCs/>
          <w:sz w:val="24"/>
          <w:szCs w:val="24"/>
        </w:rPr>
        <w:t xml:space="preserve">2004/101/CE </w:t>
      </w:r>
      <w:r w:rsidR="007B4CC2">
        <w:rPr>
          <w:rFonts w:ascii="Arial" w:hAnsi="Arial" w:cs="Arial"/>
          <w:sz w:val="24"/>
          <w:szCs w:val="24"/>
        </w:rPr>
        <w:t>è impor</w:t>
      </w:r>
      <w:r w:rsidR="0017644C">
        <w:rPr>
          <w:rFonts w:ascii="Arial" w:hAnsi="Arial" w:cs="Arial"/>
          <w:sz w:val="24"/>
          <w:szCs w:val="24"/>
        </w:rPr>
        <w:t>tante in quanto rappresenta l’elemento di raccordo tra i</w:t>
      </w:r>
      <w:r w:rsidRPr="008E0423">
        <w:rPr>
          <w:rFonts w:ascii="Arial" w:hAnsi="Arial" w:cs="Arial"/>
          <w:sz w:val="24"/>
          <w:szCs w:val="24"/>
        </w:rPr>
        <w:t>l mercato</w:t>
      </w:r>
      <w:r w:rsidR="0017644C">
        <w:rPr>
          <w:rFonts w:ascii="Arial" w:hAnsi="Arial" w:cs="Arial"/>
          <w:sz w:val="24"/>
          <w:szCs w:val="24"/>
        </w:rPr>
        <w:t xml:space="preserve"> EU</w:t>
      </w:r>
      <w:r w:rsidRPr="008E0423">
        <w:rPr>
          <w:rFonts w:ascii="Arial" w:hAnsi="Arial" w:cs="Arial"/>
          <w:sz w:val="24"/>
          <w:szCs w:val="24"/>
        </w:rPr>
        <w:t xml:space="preserve"> ETS i crediti CER, cioè i crediti generati nell’ambito dei progetti </w:t>
      </w:r>
      <w:r w:rsidR="00F500B2">
        <w:rPr>
          <w:rFonts w:ascii="Arial" w:hAnsi="Arial" w:cs="Arial"/>
          <w:sz w:val="24"/>
          <w:szCs w:val="24"/>
        </w:rPr>
        <w:t>basati sulle regole del</w:t>
      </w:r>
      <w:r w:rsidRPr="008E0423">
        <w:rPr>
          <w:rFonts w:ascii="Arial" w:hAnsi="Arial" w:cs="Arial"/>
          <w:sz w:val="24"/>
          <w:szCs w:val="24"/>
        </w:rPr>
        <w:t xml:space="preserve"> CDM (</w:t>
      </w:r>
      <w:proofErr w:type="spellStart"/>
      <w:r w:rsidRPr="008E0423">
        <w:rPr>
          <w:rFonts w:ascii="Arial" w:hAnsi="Arial" w:cs="Arial"/>
          <w:sz w:val="24"/>
          <w:szCs w:val="24"/>
        </w:rPr>
        <w:t>Clean</w:t>
      </w:r>
      <w:proofErr w:type="spellEnd"/>
      <w:r w:rsidRPr="008E0423">
        <w:rPr>
          <w:rFonts w:ascii="Arial" w:hAnsi="Arial" w:cs="Arial"/>
          <w:sz w:val="24"/>
          <w:szCs w:val="24"/>
        </w:rPr>
        <w:t xml:space="preserve"> Development </w:t>
      </w:r>
      <w:proofErr w:type="spellStart"/>
      <w:r w:rsidRPr="008E0423">
        <w:rPr>
          <w:rFonts w:ascii="Arial" w:hAnsi="Arial" w:cs="Arial"/>
          <w:sz w:val="24"/>
          <w:szCs w:val="24"/>
        </w:rPr>
        <w:t>Mechanism</w:t>
      </w:r>
      <w:proofErr w:type="spellEnd"/>
      <w:r w:rsidRPr="008E0423">
        <w:rPr>
          <w:rFonts w:ascii="Arial" w:hAnsi="Arial" w:cs="Arial"/>
          <w:sz w:val="24"/>
          <w:szCs w:val="24"/>
        </w:rPr>
        <w:t>)</w:t>
      </w:r>
      <w:r w:rsidR="00C87C8E">
        <w:rPr>
          <w:rFonts w:ascii="Arial" w:hAnsi="Arial" w:cs="Arial"/>
          <w:sz w:val="24"/>
          <w:szCs w:val="24"/>
        </w:rPr>
        <w:t xml:space="preserve"> ed ERU</w:t>
      </w:r>
      <w:r w:rsidR="0055216B">
        <w:rPr>
          <w:rFonts w:ascii="Arial" w:hAnsi="Arial" w:cs="Arial"/>
          <w:sz w:val="24"/>
          <w:szCs w:val="24"/>
        </w:rPr>
        <w:t xml:space="preserve"> del </w:t>
      </w:r>
      <w:r w:rsidR="00D01BC2">
        <w:rPr>
          <w:rFonts w:ascii="Arial" w:hAnsi="Arial" w:cs="Arial"/>
          <w:sz w:val="24"/>
          <w:szCs w:val="24"/>
        </w:rPr>
        <w:t>Protocollo di Kyoto</w:t>
      </w:r>
      <w:r w:rsidRPr="008E0423">
        <w:rPr>
          <w:rFonts w:ascii="Arial" w:hAnsi="Arial" w:cs="Arial"/>
          <w:sz w:val="24"/>
          <w:szCs w:val="24"/>
        </w:rPr>
        <w:t>.</w:t>
      </w:r>
      <w:r w:rsidR="005A3F19">
        <w:rPr>
          <w:rFonts w:ascii="Arial" w:hAnsi="Arial" w:cs="Arial"/>
          <w:sz w:val="24"/>
          <w:szCs w:val="24"/>
        </w:rPr>
        <w:t xml:space="preserve"> </w:t>
      </w:r>
      <w:r w:rsidR="00D01BC2">
        <w:rPr>
          <w:rFonts w:ascii="Arial" w:hAnsi="Arial" w:cs="Arial"/>
          <w:sz w:val="24"/>
          <w:szCs w:val="24"/>
        </w:rPr>
        <w:t>L</w:t>
      </w:r>
      <w:r w:rsidR="0011678F">
        <w:rPr>
          <w:rFonts w:ascii="Arial" w:hAnsi="Arial" w:cs="Arial"/>
          <w:sz w:val="24"/>
          <w:szCs w:val="24"/>
        </w:rPr>
        <w:t xml:space="preserve">’art. 1 </w:t>
      </w:r>
      <w:r w:rsidR="000709E6">
        <w:rPr>
          <w:rFonts w:ascii="Arial" w:hAnsi="Arial" w:cs="Arial"/>
          <w:sz w:val="24"/>
          <w:szCs w:val="24"/>
        </w:rPr>
        <w:t xml:space="preserve">della Direttiva 2004/101/CE </w:t>
      </w:r>
      <w:r w:rsidR="0011678F">
        <w:rPr>
          <w:rFonts w:ascii="Arial" w:hAnsi="Arial" w:cs="Arial"/>
          <w:sz w:val="24"/>
          <w:szCs w:val="24"/>
        </w:rPr>
        <w:t xml:space="preserve">stabilisce che </w:t>
      </w:r>
      <w:r w:rsidR="00D01BC2">
        <w:rPr>
          <w:rFonts w:ascii="Arial" w:hAnsi="Arial" w:cs="Arial"/>
          <w:sz w:val="24"/>
          <w:szCs w:val="24"/>
        </w:rPr>
        <w:t>nel</w:t>
      </w:r>
      <w:r w:rsidR="0011678F">
        <w:rPr>
          <w:rFonts w:ascii="Arial" w:hAnsi="Arial" w:cs="Arial"/>
          <w:sz w:val="24"/>
          <w:szCs w:val="24"/>
        </w:rPr>
        <w:t>la Direttiva 2003/</w:t>
      </w:r>
      <w:r w:rsidR="009A27F6">
        <w:rPr>
          <w:rFonts w:ascii="Arial" w:hAnsi="Arial" w:cs="Arial"/>
          <w:sz w:val="24"/>
          <w:szCs w:val="24"/>
        </w:rPr>
        <w:t>87/CE</w:t>
      </w:r>
      <w:r w:rsidR="00D01BC2">
        <w:rPr>
          <w:rFonts w:ascii="Arial" w:hAnsi="Arial" w:cs="Arial"/>
          <w:sz w:val="24"/>
          <w:szCs w:val="24"/>
        </w:rPr>
        <w:t>,</w:t>
      </w:r>
      <w:r w:rsidR="009A27F6">
        <w:rPr>
          <w:rFonts w:ascii="Arial" w:hAnsi="Arial" w:cs="Arial"/>
          <w:sz w:val="24"/>
          <w:szCs w:val="24"/>
        </w:rPr>
        <w:t xml:space="preserve"> dopo l’articolo 11</w:t>
      </w:r>
      <w:r w:rsidR="00D01BC2">
        <w:rPr>
          <w:rFonts w:ascii="Arial" w:hAnsi="Arial" w:cs="Arial"/>
          <w:sz w:val="24"/>
          <w:szCs w:val="24"/>
        </w:rPr>
        <w:t>,</w:t>
      </w:r>
      <w:r w:rsidR="009A27F6">
        <w:rPr>
          <w:rFonts w:ascii="Arial" w:hAnsi="Arial" w:cs="Arial"/>
          <w:sz w:val="24"/>
          <w:szCs w:val="24"/>
        </w:rPr>
        <w:t xml:space="preserve"> va</w:t>
      </w:r>
      <w:r w:rsidR="003F7C96">
        <w:rPr>
          <w:rFonts w:ascii="Arial" w:hAnsi="Arial" w:cs="Arial"/>
          <w:sz w:val="24"/>
          <w:szCs w:val="24"/>
        </w:rPr>
        <w:t xml:space="preserve"> inserito l’articolo 11 bis che consente l’utilizzo dei crediti CER ed ERU derivanti da </w:t>
      </w:r>
      <w:r w:rsidR="000F710F">
        <w:rPr>
          <w:rFonts w:ascii="Arial" w:hAnsi="Arial" w:cs="Arial"/>
          <w:sz w:val="24"/>
          <w:szCs w:val="24"/>
        </w:rPr>
        <w:t>progetti di investimento nei PVS</w:t>
      </w:r>
      <w:r w:rsidR="00084FF8">
        <w:rPr>
          <w:rFonts w:ascii="Arial" w:hAnsi="Arial" w:cs="Arial"/>
          <w:sz w:val="24"/>
          <w:szCs w:val="24"/>
        </w:rPr>
        <w:t xml:space="preserve"> per l’util</w:t>
      </w:r>
      <w:r w:rsidR="00A40BA7">
        <w:rPr>
          <w:rFonts w:ascii="Arial" w:hAnsi="Arial" w:cs="Arial"/>
          <w:sz w:val="24"/>
          <w:szCs w:val="24"/>
        </w:rPr>
        <w:t>izzo nel mercato EU ETS</w:t>
      </w:r>
      <w:r w:rsidR="00084FF8">
        <w:rPr>
          <w:rFonts w:ascii="Arial" w:hAnsi="Arial" w:cs="Arial"/>
          <w:sz w:val="24"/>
          <w:szCs w:val="24"/>
        </w:rPr>
        <w:t xml:space="preserve">. </w:t>
      </w:r>
    </w:p>
    <w:p w14:paraId="1AB2BE9E" w14:textId="651A6F5B" w:rsidR="008E0423" w:rsidRDefault="00A40BA7" w:rsidP="00EA378E">
      <w:pPr>
        <w:pStyle w:val="Corpotesto"/>
        <w:ind w:right="45" w:firstLine="567"/>
        <w:jc w:val="both"/>
        <w:rPr>
          <w:rFonts w:ascii="Arial" w:hAnsi="Arial" w:cs="Arial"/>
          <w:sz w:val="24"/>
          <w:szCs w:val="24"/>
        </w:rPr>
      </w:pPr>
      <w:r>
        <w:rPr>
          <w:rFonts w:ascii="Arial" w:hAnsi="Arial" w:cs="Arial"/>
          <w:sz w:val="24"/>
          <w:szCs w:val="24"/>
        </w:rPr>
        <w:t>I crediti CER</w:t>
      </w:r>
      <w:r w:rsidR="00CD297F">
        <w:rPr>
          <w:rFonts w:ascii="Arial" w:hAnsi="Arial" w:cs="Arial"/>
          <w:sz w:val="24"/>
          <w:szCs w:val="24"/>
        </w:rPr>
        <w:t xml:space="preserve"> </w:t>
      </w:r>
      <w:r w:rsidR="008E0423" w:rsidRPr="008E0423">
        <w:rPr>
          <w:rFonts w:ascii="Arial" w:hAnsi="Arial" w:cs="Arial"/>
          <w:sz w:val="24"/>
          <w:szCs w:val="24"/>
        </w:rPr>
        <w:t>derivan</w:t>
      </w:r>
      <w:r w:rsidR="00CD297F">
        <w:rPr>
          <w:rFonts w:ascii="Arial" w:hAnsi="Arial" w:cs="Arial"/>
          <w:sz w:val="24"/>
          <w:szCs w:val="24"/>
        </w:rPr>
        <w:t>o</w:t>
      </w:r>
      <w:r w:rsidR="008E0423" w:rsidRPr="008E0423">
        <w:rPr>
          <w:rFonts w:ascii="Arial" w:hAnsi="Arial" w:cs="Arial"/>
          <w:sz w:val="24"/>
          <w:szCs w:val="24"/>
        </w:rPr>
        <w:t xml:space="preserve"> da Progetti nei PVS</w:t>
      </w:r>
      <w:r w:rsidR="0065297C">
        <w:rPr>
          <w:rFonts w:ascii="Arial" w:hAnsi="Arial" w:cs="Arial"/>
          <w:sz w:val="24"/>
          <w:szCs w:val="24"/>
        </w:rPr>
        <w:t xml:space="preserve"> volti a generare una riduzione delle </w:t>
      </w:r>
      <w:r w:rsidR="0065297C">
        <w:rPr>
          <w:rFonts w:ascii="Arial" w:hAnsi="Arial" w:cs="Arial"/>
          <w:sz w:val="24"/>
          <w:szCs w:val="24"/>
        </w:rPr>
        <w:lastRenderedPageBreak/>
        <w:t xml:space="preserve">emissioni </w:t>
      </w:r>
      <w:r w:rsidR="00FB1CFB">
        <w:rPr>
          <w:rFonts w:ascii="Arial" w:hAnsi="Arial" w:cs="Arial"/>
          <w:sz w:val="24"/>
          <w:szCs w:val="24"/>
        </w:rPr>
        <w:t>che deve essere certificata seguen</w:t>
      </w:r>
      <w:r w:rsidR="00CF0F3B">
        <w:rPr>
          <w:rFonts w:ascii="Arial" w:hAnsi="Arial" w:cs="Arial"/>
          <w:sz w:val="24"/>
          <w:szCs w:val="24"/>
        </w:rPr>
        <w:t>d</w:t>
      </w:r>
      <w:r w:rsidR="00FB1CFB">
        <w:rPr>
          <w:rFonts w:ascii="Arial" w:hAnsi="Arial" w:cs="Arial"/>
          <w:sz w:val="24"/>
          <w:szCs w:val="24"/>
        </w:rPr>
        <w:t>o le regole e le procedure del CDM</w:t>
      </w:r>
      <w:r w:rsidR="00CF0F3B">
        <w:rPr>
          <w:rStyle w:val="Rimandonotaapidipagina"/>
          <w:rFonts w:ascii="Arial" w:hAnsi="Arial" w:cs="Arial"/>
          <w:sz w:val="24"/>
          <w:szCs w:val="24"/>
        </w:rPr>
        <w:footnoteReference w:id="26"/>
      </w:r>
      <w:r w:rsidR="00CF0F3B">
        <w:rPr>
          <w:rFonts w:ascii="Arial" w:hAnsi="Arial" w:cs="Arial"/>
          <w:sz w:val="24"/>
          <w:szCs w:val="24"/>
        </w:rPr>
        <w:t xml:space="preserve">. </w:t>
      </w:r>
      <w:r w:rsidR="00FC0105">
        <w:rPr>
          <w:rFonts w:ascii="Arial" w:hAnsi="Arial" w:cs="Arial"/>
          <w:sz w:val="24"/>
          <w:szCs w:val="24"/>
        </w:rPr>
        <w:t xml:space="preserve">La maggior parte di questi progetti sono </w:t>
      </w:r>
      <w:r w:rsidR="00693049">
        <w:rPr>
          <w:rFonts w:ascii="Arial" w:hAnsi="Arial" w:cs="Arial"/>
          <w:sz w:val="24"/>
          <w:szCs w:val="24"/>
        </w:rPr>
        <w:t>finalizzati alla realizzazione di</w:t>
      </w:r>
      <w:r w:rsidR="00FC0105" w:rsidRPr="008E0423">
        <w:rPr>
          <w:rFonts w:ascii="Arial" w:hAnsi="Arial" w:cs="Arial"/>
          <w:sz w:val="24"/>
          <w:szCs w:val="24"/>
        </w:rPr>
        <w:t xml:space="preserve"> impianti energetici</w:t>
      </w:r>
      <w:r w:rsidR="00780B3F">
        <w:rPr>
          <w:rFonts w:ascii="Arial" w:hAnsi="Arial" w:cs="Arial"/>
          <w:sz w:val="24"/>
          <w:szCs w:val="24"/>
        </w:rPr>
        <w:t xml:space="preserve"> o ad altre forme di riduzione delle emissioni</w:t>
      </w:r>
      <w:r w:rsidR="008E0423" w:rsidRPr="008E0423">
        <w:rPr>
          <w:rFonts w:ascii="Arial" w:hAnsi="Arial" w:cs="Arial"/>
          <w:sz w:val="24"/>
          <w:szCs w:val="24"/>
        </w:rPr>
        <w:t xml:space="preserve">, </w:t>
      </w:r>
      <w:r w:rsidR="00693049">
        <w:rPr>
          <w:rFonts w:ascii="Arial" w:hAnsi="Arial" w:cs="Arial"/>
          <w:sz w:val="24"/>
          <w:szCs w:val="24"/>
        </w:rPr>
        <w:t xml:space="preserve">ma una piccola parte </w:t>
      </w:r>
      <w:r w:rsidR="000173E2">
        <w:rPr>
          <w:rFonts w:ascii="Arial" w:hAnsi="Arial" w:cs="Arial"/>
          <w:sz w:val="24"/>
          <w:szCs w:val="24"/>
        </w:rPr>
        <w:t xml:space="preserve">di questi progetti sono </w:t>
      </w:r>
      <w:r w:rsidR="008E0423" w:rsidRPr="008E0423">
        <w:rPr>
          <w:rFonts w:ascii="Arial" w:hAnsi="Arial" w:cs="Arial"/>
          <w:sz w:val="24"/>
          <w:szCs w:val="24"/>
        </w:rPr>
        <w:t>connessi</w:t>
      </w:r>
      <w:r w:rsidR="000173E2">
        <w:rPr>
          <w:rFonts w:ascii="Arial" w:hAnsi="Arial" w:cs="Arial"/>
          <w:sz w:val="24"/>
          <w:szCs w:val="24"/>
        </w:rPr>
        <w:t xml:space="preserve"> alla</w:t>
      </w:r>
      <w:r w:rsidR="008E0423" w:rsidRPr="008E0423">
        <w:rPr>
          <w:rFonts w:ascii="Arial" w:hAnsi="Arial" w:cs="Arial"/>
          <w:sz w:val="24"/>
          <w:szCs w:val="24"/>
        </w:rPr>
        <w:t xml:space="preserve"> gestione forestale o </w:t>
      </w:r>
      <w:r w:rsidR="004C6701">
        <w:rPr>
          <w:rFonts w:ascii="Arial" w:hAnsi="Arial" w:cs="Arial"/>
          <w:sz w:val="24"/>
          <w:szCs w:val="24"/>
        </w:rPr>
        <w:t>a interventi di</w:t>
      </w:r>
      <w:r w:rsidR="008E0423" w:rsidRPr="008E0423">
        <w:rPr>
          <w:rFonts w:ascii="Arial" w:hAnsi="Arial" w:cs="Arial"/>
          <w:sz w:val="24"/>
          <w:szCs w:val="24"/>
        </w:rPr>
        <w:t xml:space="preserve"> </w:t>
      </w:r>
      <w:r w:rsidR="00FA472D">
        <w:rPr>
          <w:rFonts w:ascii="Arial" w:hAnsi="Arial" w:cs="Arial"/>
          <w:sz w:val="24"/>
          <w:szCs w:val="24"/>
        </w:rPr>
        <w:t>ri</w:t>
      </w:r>
      <w:r w:rsidR="008E0423" w:rsidRPr="008E0423">
        <w:rPr>
          <w:rFonts w:ascii="Arial" w:hAnsi="Arial" w:cs="Arial"/>
          <w:sz w:val="24"/>
          <w:szCs w:val="24"/>
        </w:rPr>
        <w:t>forestazione associati a meccanismi di sostenibilità sociale</w:t>
      </w:r>
      <w:r w:rsidR="00A46B4E">
        <w:rPr>
          <w:rFonts w:ascii="Arial" w:hAnsi="Arial" w:cs="Arial"/>
          <w:sz w:val="24"/>
          <w:szCs w:val="24"/>
        </w:rPr>
        <w:t xml:space="preserve">. </w:t>
      </w:r>
      <w:r w:rsidR="00FF3A94">
        <w:rPr>
          <w:rFonts w:ascii="Arial" w:hAnsi="Arial" w:cs="Arial"/>
          <w:sz w:val="24"/>
          <w:szCs w:val="24"/>
        </w:rPr>
        <w:t xml:space="preserve">Sono quindi interessanti per il Progetto LIFE CO2PES&amp;PEF perché </w:t>
      </w:r>
      <w:r w:rsidR="00175B9A">
        <w:rPr>
          <w:rFonts w:ascii="Arial" w:hAnsi="Arial" w:cs="Arial"/>
          <w:sz w:val="24"/>
          <w:szCs w:val="24"/>
        </w:rPr>
        <w:t xml:space="preserve">rappresentano una possibilità di </w:t>
      </w:r>
      <w:r w:rsidR="00181A39">
        <w:rPr>
          <w:rFonts w:ascii="Arial" w:hAnsi="Arial" w:cs="Arial"/>
          <w:sz w:val="24"/>
          <w:szCs w:val="24"/>
        </w:rPr>
        <w:t>certificazione di crediti di Carbonio che è applicata anche a sistemi di gestione forestale</w:t>
      </w:r>
      <w:r w:rsidR="00A160AB">
        <w:rPr>
          <w:rFonts w:ascii="Arial" w:hAnsi="Arial" w:cs="Arial"/>
          <w:sz w:val="24"/>
          <w:szCs w:val="24"/>
        </w:rPr>
        <w:t>, sebbene solo nei PVS</w:t>
      </w:r>
      <w:r w:rsidR="00A160AB">
        <w:rPr>
          <w:rStyle w:val="Rimandonotaapidipagina"/>
          <w:rFonts w:ascii="Arial" w:hAnsi="Arial" w:cs="Arial"/>
          <w:sz w:val="24"/>
          <w:szCs w:val="24"/>
        </w:rPr>
        <w:footnoteReference w:id="27"/>
      </w:r>
      <w:r w:rsidR="00A160AB">
        <w:rPr>
          <w:rFonts w:ascii="Arial" w:hAnsi="Arial" w:cs="Arial"/>
          <w:sz w:val="24"/>
          <w:szCs w:val="24"/>
        </w:rPr>
        <w:t>.</w:t>
      </w:r>
    </w:p>
    <w:p w14:paraId="56477183" w14:textId="397B606C" w:rsidR="008E0423" w:rsidRDefault="00003A14" w:rsidP="00EA378E">
      <w:pPr>
        <w:pStyle w:val="Corpotesto"/>
        <w:ind w:right="45" w:firstLine="567"/>
        <w:jc w:val="both"/>
        <w:rPr>
          <w:rFonts w:ascii="Arial" w:hAnsi="Arial" w:cs="Arial"/>
          <w:sz w:val="24"/>
          <w:szCs w:val="24"/>
        </w:rPr>
      </w:pPr>
      <w:r>
        <w:rPr>
          <w:rFonts w:ascii="Arial" w:hAnsi="Arial" w:cs="Arial"/>
          <w:sz w:val="24"/>
          <w:szCs w:val="24"/>
        </w:rPr>
        <w:t xml:space="preserve">Le </w:t>
      </w:r>
      <w:r w:rsidR="001E3CAC">
        <w:rPr>
          <w:rFonts w:ascii="Arial" w:hAnsi="Arial" w:cs="Arial"/>
          <w:sz w:val="24"/>
          <w:szCs w:val="24"/>
        </w:rPr>
        <w:t>regole del CDM sono</w:t>
      </w:r>
      <w:r w:rsidR="00E354DB">
        <w:rPr>
          <w:rFonts w:ascii="Arial" w:hAnsi="Arial" w:cs="Arial"/>
          <w:sz w:val="24"/>
          <w:szCs w:val="24"/>
        </w:rPr>
        <w:t xml:space="preserve"> applicate anche</w:t>
      </w:r>
      <w:r w:rsidR="008968F5">
        <w:rPr>
          <w:rFonts w:ascii="Arial" w:hAnsi="Arial" w:cs="Arial"/>
          <w:sz w:val="24"/>
          <w:szCs w:val="24"/>
        </w:rPr>
        <w:t xml:space="preserve"> </w:t>
      </w:r>
      <w:r w:rsidR="00CA6226">
        <w:rPr>
          <w:rFonts w:ascii="Arial" w:hAnsi="Arial" w:cs="Arial"/>
          <w:sz w:val="24"/>
          <w:szCs w:val="24"/>
        </w:rPr>
        <w:t>ne</w:t>
      </w:r>
      <w:r w:rsidR="00D72C2F">
        <w:rPr>
          <w:rFonts w:ascii="Arial" w:hAnsi="Arial" w:cs="Arial"/>
          <w:sz w:val="24"/>
          <w:szCs w:val="24"/>
        </w:rPr>
        <w:t xml:space="preserve">i </w:t>
      </w:r>
      <w:r w:rsidR="00F724FB">
        <w:rPr>
          <w:rFonts w:ascii="Arial" w:hAnsi="Arial" w:cs="Arial"/>
          <w:sz w:val="24"/>
          <w:szCs w:val="24"/>
        </w:rPr>
        <w:t xml:space="preserve">progetti di riduzione delle emissioni </w:t>
      </w:r>
      <w:r w:rsidR="002E64B8">
        <w:rPr>
          <w:rFonts w:ascii="Arial" w:hAnsi="Arial" w:cs="Arial"/>
          <w:sz w:val="24"/>
          <w:szCs w:val="24"/>
        </w:rPr>
        <w:t xml:space="preserve">basati su schemi volontari </w:t>
      </w:r>
      <w:r w:rsidR="003B0B09">
        <w:rPr>
          <w:rFonts w:ascii="Arial" w:hAnsi="Arial" w:cs="Arial"/>
          <w:sz w:val="24"/>
          <w:szCs w:val="24"/>
        </w:rPr>
        <w:t xml:space="preserve">come </w:t>
      </w:r>
      <w:r w:rsidR="002E64B8">
        <w:rPr>
          <w:rFonts w:ascii="Arial" w:hAnsi="Arial" w:cs="Arial"/>
          <w:sz w:val="24"/>
          <w:szCs w:val="24"/>
        </w:rPr>
        <w:t>il</w:t>
      </w:r>
      <w:r w:rsidR="008E0423" w:rsidRPr="008E0423">
        <w:rPr>
          <w:rFonts w:ascii="Arial" w:hAnsi="Arial" w:cs="Arial"/>
          <w:sz w:val="24"/>
          <w:szCs w:val="24"/>
        </w:rPr>
        <w:t xml:space="preserve"> Gold Standard o VCS-</w:t>
      </w:r>
      <w:proofErr w:type="spellStart"/>
      <w:r w:rsidR="008E0423" w:rsidRPr="008E0423">
        <w:rPr>
          <w:rFonts w:ascii="Arial" w:hAnsi="Arial" w:cs="Arial"/>
          <w:sz w:val="24"/>
          <w:szCs w:val="24"/>
        </w:rPr>
        <w:t>Verra</w:t>
      </w:r>
      <w:proofErr w:type="spellEnd"/>
      <w:r w:rsidR="001305A9">
        <w:rPr>
          <w:rFonts w:ascii="Arial" w:hAnsi="Arial" w:cs="Arial"/>
          <w:sz w:val="24"/>
          <w:szCs w:val="24"/>
        </w:rPr>
        <w:t xml:space="preserve">, che anch’essi hanno al proprio interno una quota di progetti incentrati su nuove </w:t>
      </w:r>
      <w:r w:rsidR="00FA472D">
        <w:rPr>
          <w:rFonts w:ascii="Arial" w:hAnsi="Arial" w:cs="Arial"/>
          <w:sz w:val="24"/>
          <w:szCs w:val="24"/>
        </w:rPr>
        <w:t>ri</w:t>
      </w:r>
      <w:r w:rsidR="001305A9">
        <w:rPr>
          <w:rFonts w:ascii="Arial" w:hAnsi="Arial" w:cs="Arial"/>
          <w:sz w:val="24"/>
          <w:szCs w:val="24"/>
        </w:rPr>
        <w:t xml:space="preserve">forestazioni o </w:t>
      </w:r>
      <w:r w:rsidR="006A7D23">
        <w:rPr>
          <w:rFonts w:ascii="Arial" w:hAnsi="Arial" w:cs="Arial"/>
          <w:sz w:val="24"/>
          <w:szCs w:val="24"/>
        </w:rPr>
        <w:t>gestioni forestali sostenibili nei PVS</w:t>
      </w:r>
      <w:r w:rsidR="008E0423" w:rsidRPr="008E0423">
        <w:rPr>
          <w:rFonts w:ascii="Arial" w:hAnsi="Arial" w:cs="Arial"/>
          <w:sz w:val="24"/>
          <w:szCs w:val="24"/>
        </w:rPr>
        <w:t>.</w:t>
      </w:r>
      <w:r w:rsidR="008C3EF6">
        <w:rPr>
          <w:rFonts w:ascii="Arial" w:hAnsi="Arial" w:cs="Arial"/>
          <w:sz w:val="24"/>
          <w:szCs w:val="24"/>
        </w:rPr>
        <w:t xml:space="preserve"> </w:t>
      </w:r>
    </w:p>
    <w:p w14:paraId="48A215D3" w14:textId="1F18CE03" w:rsidR="00585567" w:rsidRDefault="00357841" w:rsidP="002F75CD">
      <w:pPr>
        <w:widowControl/>
        <w:adjustRightInd w:val="0"/>
        <w:ind w:firstLine="567"/>
        <w:jc w:val="both"/>
        <w:rPr>
          <w:rFonts w:ascii="Arial" w:eastAsia="EUAlbertina-Regular-Identity-H" w:hAnsi="Arial" w:cs="Arial"/>
          <w:sz w:val="24"/>
          <w:szCs w:val="24"/>
        </w:rPr>
      </w:pPr>
      <w:r>
        <w:rPr>
          <w:rFonts w:ascii="Arial" w:hAnsi="Arial" w:cs="Arial"/>
          <w:sz w:val="24"/>
          <w:szCs w:val="24"/>
        </w:rPr>
        <w:t xml:space="preserve">Va precisato che la Direttiva 2004/101/CE </w:t>
      </w:r>
      <w:r w:rsidR="004262AD">
        <w:rPr>
          <w:rFonts w:ascii="Arial" w:hAnsi="Arial" w:cs="Arial"/>
          <w:sz w:val="24"/>
          <w:szCs w:val="24"/>
        </w:rPr>
        <w:t xml:space="preserve">inserisce i crediti CER ed ERU nel sistema </w:t>
      </w:r>
      <w:r w:rsidR="00915357">
        <w:rPr>
          <w:rFonts w:ascii="Arial" w:hAnsi="Arial" w:cs="Arial"/>
          <w:sz w:val="24"/>
          <w:szCs w:val="24"/>
        </w:rPr>
        <w:t xml:space="preserve">EU </w:t>
      </w:r>
      <w:r w:rsidR="00915357" w:rsidRPr="002F75CD">
        <w:rPr>
          <w:rFonts w:ascii="Arial" w:hAnsi="Arial" w:cs="Arial"/>
          <w:sz w:val="24"/>
          <w:szCs w:val="24"/>
        </w:rPr>
        <w:t xml:space="preserve">ETS ma non accetta questi crediti quando essi siano basati su processi </w:t>
      </w:r>
      <w:r w:rsidR="00F511C7" w:rsidRPr="002F75CD">
        <w:rPr>
          <w:rFonts w:ascii="Arial" w:hAnsi="Arial" w:cs="Arial"/>
          <w:sz w:val="24"/>
          <w:szCs w:val="24"/>
        </w:rPr>
        <w:t>“</w:t>
      </w:r>
      <w:r w:rsidR="00F511C7" w:rsidRPr="002F75CD">
        <w:rPr>
          <w:rFonts w:ascii="Arial" w:eastAsia="EUAlbertina-Regular-Identity-H" w:hAnsi="Arial" w:cs="Arial"/>
          <w:sz w:val="24"/>
          <w:szCs w:val="24"/>
        </w:rPr>
        <w:t>derivanti da attività di</w:t>
      </w:r>
      <w:r w:rsidR="002F75CD">
        <w:rPr>
          <w:rFonts w:ascii="Arial" w:eastAsia="EUAlbertina-Regular-Identity-H" w:hAnsi="Arial" w:cs="Arial"/>
          <w:sz w:val="24"/>
          <w:szCs w:val="24"/>
        </w:rPr>
        <w:t xml:space="preserve"> </w:t>
      </w:r>
      <w:r w:rsidR="00F511C7" w:rsidRPr="002F75CD">
        <w:rPr>
          <w:rFonts w:ascii="Arial" w:eastAsia="EUAlbertina-Regular-Identity-H" w:hAnsi="Arial" w:cs="Arial"/>
          <w:sz w:val="24"/>
          <w:szCs w:val="24"/>
        </w:rPr>
        <w:t>utilizzo del territorio, variazione della destinazione d’uso del territorio e silvicoltura” (Art. 1bis, com</w:t>
      </w:r>
      <w:r w:rsidR="002F75CD" w:rsidRPr="002F75CD">
        <w:rPr>
          <w:rFonts w:ascii="Arial" w:eastAsia="EUAlbertina-Regular-Identity-H" w:hAnsi="Arial" w:cs="Arial"/>
          <w:sz w:val="24"/>
          <w:szCs w:val="24"/>
        </w:rPr>
        <w:t>ma 3, punto b))</w:t>
      </w:r>
      <w:r w:rsidR="00F511C7" w:rsidRPr="002F75CD">
        <w:rPr>
          <w:rFonts w:ascii="Arial" w:eastAsia="EUAlbertina-Regular-Identity-H" w:hAnsi="Arial" w:cs="Arial"/>
          <w:sz w:val="24"/>
          <w:szCs w:val="24"/>
        </w:rPr>
        <w:t>.</w:t>
      </w:r>
      <w:r w:rsidR="00AA467B">
        <w:rPr>
          <w:rFonts w:ascii="Arial" w:eastAsia="EUAlbertina-Regular-Identity-H" w:hAnsi="Arial" w:cs="Arial"/>
          <w:sz w:val="24"/>
          <w:szCs w:val="24"/>
        </w:rPr>
        <w:t xml:space="preserve"> Inoltre</w:t>
      </w:r>
      <w:r w:rsidR="004E5830">
        <w:rPr>
          <w:rFonts w:ascii="Arial" w:eastAsia="EUAlbertina-Regular-Identity-H" w:hAnsi="Arial" w:cs="Arial"/>
          <w:sz w:val="24"/>
          <w:szCs w:val="24"/>
        </w:rPr>
        <w:t>,</w:t>
      </w:r>
      <w:r w:rsidR="00AA467B">
        <w:rPr>
          <w:rFonts w:ascii="Arial" w:eastAsia="EUAlbertina-Regular-Identity-H" w:hAnsi="Arial" w:cs="Arial"/>
          <w:sz w:val="24"/>
          <w:szCs w:val="24"/>
        </w:rPr>
        <w:t xml:space="preserve"> dal 2021 in crediti CER ed ER</w:t>
      </w:r>
      <w:r w:rsidR="004E5830">
        <w:rPr>
          <w:rFonts w:ascii="Arial" w:eastAsia="EUAlbertina-Regular-Identity-H" w:hAnsi="Arial" w:cs="Arial"/>
          <w:sz w:val="24"/>
          <w:szCs w:val="24"/>
        </w:rPr>
        <w:t xml:space="preserve">U </w:t>
      </w:r>
      <w:r w:rsidR="004E5830" w:rsidRPr="00780E90">
        <w:rPr>
          <w:rFonts w:ascii="Arial" w:eastAsia="EUAlbertina-Regular-Identity-H" w:hAnsi="Arial" w:cs="Arial"/>
          <w:i/>
          <w:iCs/>
          <w:sz w:val="24"/>
          <w:szCs w:val="24"/>
        </w:rPr>
        <w:t xml:space="preserve">in generale non sono più accettati </w:t>
      </w:r>
      <w:r w:rsidR="00B66FCE">
        <w:rPr>
          <w:rFonts w:ascii="Arial" w:eastAsia="EUAlbertina-Regular-Identity-H" w:hAnsi="Arial" w:cs="Arial"/>
          <w:i/>
          <w:iCs/>
          <w:sz w:val="24"/>
          <w:szCs w:val="24"/>
        </w:rPr>
        <w:t xml:space="preserve">in toto </w:t>
      </w:r>
      <w:r w:rsidR="004E5830" w:rsidRPr="00780E90">
        <w:rPr>
          <w:rFonts w:ascii="Arial" w:eastAsia="EUAlbertina-Regular-Identity-H" w:hAnsi="Arial" w:cs="Arial"/>
          <w:i/>
          <w:iCs/>
          <w:sz w:val="24"/>
          <w:szCs w:val="24"/>
        </w:rPr>
        <w:t>sul mercato ETS</w:t>
      </w:r>
      <w:r w:rsidR="004E5830">
        <w:rPr>
          <w:rFonts w:ascii="Arial" w:eastAsia="EUAlbertina-Regular-Identity-H" w:hAnsi="Arial" w:cs="Arial"/>
          <w:sz w:val="24"/>
          <w:szCs w:val="24"/>
        </w:rPr>
        <w:t>.</w:t>
      </w:r>
      <w:r w:rsidR="002E4423">
        <w:rPr>
          <w:rFonts w:ascii="Arial" w:eastAsia="EUAlbertina-Regular-Identity-H" w:hAnsi="Arial" w:cs="Arial"/>
          <w:sz w:val="24"/>
          <w:szCs w:val="24"/>
        </w:rPr>
        <w:t xml:space="preserve"> </w:t>
      </w:r>
      <w:r w:rsidR="00FF4510">
        <w:rPr>
          <w:rFonts w:ascii="Arial" w:eastAsia="EUAlbertina-Regular-Identity-H" w:hAnsi="Arial" w:cs="Arial"/>
          <w:sz w:val="24"/>
          <w:szCs w:val="24"/>
        </w:rPr>
        <w:t xml:space="preserve">La principale motivazione dell’esclusione dei crediti di carbonio </w:t>
      </w:r>
      <w:r w:rsidR="008C3EDB">
        <w:rPr>
          <w:rFonts w:ascii="Arial" w:eastAsia="EUAlbertina-Regular-Identity-H" w:hAnsi="Arial" w:cs="Arial"/>
          <w:sz w:val="24"/>
          <w:szCs w:val="24"/>
        </w:rPr>
        <w:t xml:space="preserve">del sistema Kyoto </w:t>
      </w:r>
      <w:r w:rsidR="00FF4510">
        <w:rPr>
          <w:rFonts w:ascii="Arial" w:eastAsia="EUAlbertina-Regular-Identity-H" w:hAnsi="Arial" w:cs="Arial"/>
          <w:sz w:val="24"/>
          <w:szCs w:val="24"/>
        </w:rPr>
        <w:t xml:space="preserve">che </w:t>
      </w:r>
      <w:r w:rsidR="00484D15">
        <w:rPr>
          <w:rFonts w:ascii="Arial" w:eastAsia="EUAlbertina-Regular-Identity-H" w:hAnsi="Arial" w:cs="Arial"/>
          <w:sz w:val="24"/>
          <w:szCs w:val="24"/>
        </w:rPr>
        <w:t>sono basati su CER o ERU</w:t>
      </w:r>
      <w:r w:rsidR="009C3CD0">
        <w:rPr>
          <w:rFonts w:ascii="Arial" w:eastAsia="EUAlbertina-Regular-Identity-H" w:hAnsi="Arial" w:cs="Arial"/>
          <w:sz w:val="24"/>
          <w:szCs w:val="24"/>
        </w:rPr>
        <w:t xml:space="preserve"> è </w:t>
      </w:r>
      <w:r w:rsidR="009C3CD0" w:rsidRPr="00932174">
        <w:rPr>
          <w:rFonts w:ascii="Arial" w:eastAsia="EUAlbertina-Regular-Identity-H" w:hAnsi="Arial" w:cs="Arial"/>
          <w:sz w:val="24"/>
          <w:szCs w:val="24"/>
        </w:rPr>
        <w:t>la mancanza di un sistema certo e credibile per valutare l’addizionalità della CO</w:t>
      </w:r>
      <w:r w:rsidR="009C3CD0" w:rsidRPr="00423453">
        <w:rPr>
          <w:rFonts w:ascii="Arial" w:eastAsia="EUAlbertina-Regular-Identity-H" w:hAnsi="Arial" w:cs="Arial"/>
          <w:sz w:val="24"/>
          <w:szCs w:val="24"/>
          <w:vertAlign w:val="subscript"/>
        </w:rPr>
        <w:t>2</w:t>
      </w:r>
      <w:r w:rsidR="009C3CD0" w:rsidRPr="00932174">
        <w:rPr>
          <w:rFonts w:ascii="Arial" w:eastAsia="EUAlbertina-Regular-Identity-H" w:hAnsi="Arial" w:cs="Arial"/>
          <w:sz w:val="24"/>
          <w:szCs w:val="24"/>
        </w:rPr>
        <w:t xml:space="preserve"> negli interventi di gestione forestale sostenibile</w:t>
      </w:r>
      <w:r w:rsidR="0014329E">
        <w:rPr>
          <w:rFonts w:ascii="Arial" w:eastAsia="EUAlbertina-Regular-Identity-H" w:hAnsi="Arial" w:cs="Arial"/>
          <w:sz w:val="24"/>
          <w:szCs w:val="24"/>
        </w:rPr>
        <w:t xml:space="preserve">. </w:t>
      </w:r>
      <w:proofErr w:type="gramStart"/>
      <w:r w:rsidR="0014329E">
        <w:rPr>
          <w:rFonts w:ascii="Arial" w:eastAsia="EUAlbertina-Regular-Identity-H" w:hAnsi="Arial" w:cs="Arial"/>
          <w:sz w:val="24"/>
          <w:szCs w:val="24"/>
        </w:rPr>
        <w:t>Inoltre</w:t>
      </w:r>
      <w:proofErr w:type="gramEnd"/>
      <w:r w:rsidR="0014329E">
        <w:rPr>
          <w:rFonts w:ascii="Arial" w:eastAsia="EUAlbertina-Regular-Identity-H" w:hAnsi="Arial" w:cs="Arial"/>
          <w:sz w:val="24"/>
          <w:szCs w:val="24"/>
        </w:rPr>
        <w:t xml:space="preserve"> c</w:t>
      </w:r>
      <w:r w:rsidR="00B7151E">
        <w:rPr>
          <w:rFonts w:ascii="Arial" w:eastAsia="EUAlbertina-Regular-Identity-H" w:hAnsi="Arial" w:cs="Arial"/>
          <w:sz w:val="24"/>
          <w:szCs w:val="24"/>
        </w:rPr>
        <w:t>’</w:t>
      </w:r>
      <w:r w:rsidR="00484D15">
        <w:rPr>
          <w:rFonts w:ascii="Arial" w:eastAsia="EUAlbertina-Regular-Identity-H" w:hAnsi="Arial" w:cs="Arial"/>
          <w:sz w:val="24"/>
          <w:szCs w:val="24"/>
        </w:rPr>
        <w:t xml:space="preserve">è </w:t>
      </w:r>
      <w:r w:rsidR="008C3EDB">
        <w:rPr>
          <w:rFonts w:ascii="Arial" w:eastAsia="EUAlbertina-Regular-Identity-H" w:hAnsi="Arial" w:cs="Arial"/>
          <w:sz w:val="24"/>
          <w:szCs w:val="24"/>
        </w:rPr>
        <w:t>il timore</w:t>
      </w:r>
      <w:r w:rsidR="00D01E92">
        <w:rPr>
          <w:rFonts w:ascii="Arial" w:eastAsia="EUAlbertina-Regular-Identity-H" w:hAnsi="Arial" w:cs="Arial"/>
          <w:sz w:val="24"/>
          <w:szCs w:val="24"/>
        </w:rPr>
        <w:t xml:space="preserve"> che nei progetti di riduzione delle emissioni vengano attuate procedure di deforestazione più o meno mascherate, che sarebbero naturalmente controproducenti</w:t>
      </w:r>
      <w:r w:rsidR="00487BE5">
        <w:rPr>
          <w:rFonts w:ascii="Arial" w:eastAsia="EUAlbertina-Regular-Identity-H" w:hAnsi="Arial" w:cs="Arial"/>
          <w:sz w:val="24"/>
          <w:szCs w:val="24"/>
        </w:rPr>
        <w:t xml:space="preserve"> per la lotta contro il riscaldamento globale. </w:t>
      </w:r>
    </w:p>
    <w:p w14:paraId="5F775D9D" w14:textId="60DF17D7" w:rsidR="007E1B29" w:rsidRDefault="00AA467B" w:rsidP="0080286C">
      <w:pPr>
        <w:widowControl/>
        <w:adjustRightInd w:val="0"/>
        <w:ind w:firstLine="567"/>
        <w:jc w:val="both"/>
        <w:rPr>
          <w:rFonts w:ascii="Arial" w:eastAsia="EUAlbertina-Regular-Identity-H" w:hAnsi="Arial" w:cs="Arial"/>
          <w:sz w:val="24"/>
          <w:szCs w:val="24"/>
        </w:rPr>
      </w:pPr>
      <w:r>
        <w:rPr>
          <w:rFonts w:ascii="Arial" w:eastAsia="EUAlbertina-Regular-Identity-H" w:hAnsi="Arial" w:cs="Arial"/>
          <w:sz w:val="24"/>
          <w:szCs w:val="24"/>
        </w:rPr>
        <w:t xml:space="preserve">Nonostante queste </w:t>
      </w:r>
      <w:r w:rsidR="004E5830">
        <w:rPr>
          <w:rFonts w:ascii="Arial" w:eastAsia="EUAlbertina-Regular-Identity-H" w:hAnsi="Arial" w:cs="Arial"/>
          <w:sz w:val="24"/>
          <w:szCs w:val="24"/>
        </w:rPr>
        <w:t>importanti limitazioni</w:t>
      </w:r>
      <w:r w:rsidR="0007485E">
        <w:rPr>
          <w:rFonts w:ascii="Arial" w:eastAsia="EUAlbertina-Regular-Identity-H" w:hAnsi="Arial" w:cs="Arial"/>
          <w:sz w:val="24"/>
          <w:szCs w:val="24"/>
        </w:rPr>
        <w:t xml:space="preserve">, le procedure del CDM </w:t>
      </w:r>
      <w:r w:rsidR="005914F5">
        <w:rPr>
          <w:rFonts w:ascii="Arial" w:eastAsia="EUAlbertina-Regular-Identity-H" w:hAnsi="Arial" w:cs="Arial"/>
          <w:sz w:val="24"/>
          <w:szCs w:val="24"/>
        </w:rPr>
        <w:t xml:space="preserve">risultano particolarmente interessanti da considerare per </w:t>
      </w:r>
      <w:r w:rsidR="00363E73">
        <w:rPr>
          <w:rFonts w:ascii="Arial" w:eastAsia="EUAlbertina-Regular-Identity-H" w:hAnsi="Arial" w:cs="Arial"/>
          <w:sz w:val="24"/>
          <w:szCs w:val="24"/>
        </w:rPr>
        <w:t xml:space="preserve">l’emissione di crediti ecosistemici incentrate su una gestione forestale sostenibile volta ad incrementare il carbon stock nelle foreste italiane. </w:t>
      </w:r>
      <w:r w:rsidR="00653210">
        <w:rPr>
          <w:rFonts w:ascii="Arial" w:eastAsia="EUAlbertina-Regular-Identity-H" w:hAnsi="Arial" w:cs="Arial"/>
          <w:sz w:val="24"/>
          <w:szCs w:val="24"/>
        </w:rPr>
        <w:t>Infatti, il loro inserimento nei criteri di certificazione dei crediti</w:t>
      </w:r>
      <w:r w:rsidR="00DE338A">
        <w:rPr>
          <w:rFonts w:ascii="Arial" w:eastAsia="EUAlbertina-Regular-Identity-H" w:hAnsi="Arial" w:cs="Arial"/>
          <w:sz w:val="24"/>
          <w:szCs w:val="24"/>
        </w:rPr>
        <w:t xml:space="preserve"> li rende </w:t>
      </w:r>
      <w:r w:rsidR="00DE338A" w:rsidRPr="00BF0A25">
        <w:rPr>
          <w:rFonts w:ascii="Arial" w:eastAsia="EUAlbertina-Regular-Identity-H" w:hAnsi="Arial" w:cs="Arial"/>
          <w:i/>
          <w:iCs/>
          <w:sz w:val="24"/>
          <w:szCs w:val="24"/>
        </w:rPr>
        <w:t>potenzialmente confrontabili sia con i crediti CER</w:t>
      </w:r>
      <w:r w:rsidR="00673E7B" w:rsidRPr="00BF0A25">
        <w:rPr>
          <w:rFonts w:ascii="Arial" w:eastAsia="EUAlbertina-Regular-Identity-H" w:hAnsi="Arial" w:cs="Arial"/>
          <w:i/>
          <w:iCs/>
          <w:sz w:val="24"/>
          <w:szCs w:val="24"/>
        </w:rPr>
        <w:t xml:space="preserve"> emessi nei PVS sia con i marchi volontari</w:t>
      </w:r>
      <w:r w:rsidR="00673E7B">
        <w:rPr>
          <w:rFonts w:ascii="Arial" w:eastAsia="EUAlbertina-Regular-Identity-H" w:hAnsi="Arial" w:cs="Arial"/>
          <w:sz w:val="24"/>
          <w:szCs w:val="24"/>
        </w:rPr>
        <w:t>, creando una</w:t>
      </w:r>
      <w:r w:rsidR="00DD2815">
        <w:rPr>
          <w:rFonts w:ascii="Arial" w:eastAsia="EUAlbertina-Regular-Identity-H" w:hAnsi="Arial" w:cs="Arial"/>
          <w:sz w:val="24"/>
          <w:szCs w:val="24"/>
        </w:rPr>
        <w:t xml:space="preserve"> premessa importante per un riconoscimento reciproco a livello internazionale. </w:t>
      </w:r>
      <w:r w:rsidR="00DF5672">
        <w:rPr>
          <w:rFonts w:ascii="Arial" w:eastAsia="EUAlbertina-Regular-Identity-H" w:hAnsi="Arial" w:cs="Arial"/>
          <w:sz w:val="24"/>
          <w:szCs w:val="24"/>
        </w:rPr>
        <w:t>Questo a maggior ragione se si considera che il più importante criterio che viene utilizzato nel CDM è quello dell’addizionalità delle riduzion</w:t>
      </w:r>
      <w:r w:rsidR="00327972">
        <w:rPr>
          <w:rFonts w:ascii="Arial" w:eastAsia="EUAlbertina-Regular-Identity-H" w:hAnsi="Arial" w:cs="Arial"/>
          <w:sz w:val="24"/>
          <w:szCs w:val="24"/>
        </w:rPr>
        <w:t>i</w:t>
      </w:r>
      <w:r w:rsidR="00DF5672">
        <w:rPr>
          <w:rFonts w:ascii="Arial" w:eastAsia="EUAlbertina-Regular-Identity-H" w:hAnsi="Arial" w:cs="Arial"/>
          <w:sz w:val="24"/>
          <w:szCs w:val="24"/>
        </w:rPr>
        <w:t xml:space="preserve"> rispetto a</w:t>
      </w:r>
      <w:r w:rsidR="00495F7B">
        <w:rPr>
          <w:rFonts w:ascii="Arial" w:eastAsia="EUAlbertina-Regular-Identity-H" w:hAnsi="Arial" w:cs="Arial"/>
          <w:sz w:val="24"/>
          <w:szCs w:val="24"/>
        </w:rPr>
        <w:t xml:space="preserve">d uno scenario BAU, che è anche un criterio basilare che verrà adottato nelle strategie di gestione forestale sostenibile per valutarne gli effetti incrementali. </w:t>
      </w:r>
      <w:r w:rsidR="00BC607A">
        <w:rPr>
          <w:rFonts w:ascii="Arial" w:eastAsia="EUAlbertina-Regular-Identity-H" w:hAnsi="Arial" w:cs="Arial"/>
          <w:sz w:val="24"/>
          <w:szCs w:val="24"/>
        </w:rPr>
        <w:t xml:space="preserve">Quindi si ritiene opportuno, alla luce di questo quadro normativo, </w:t>
      </w:r>
      <w:r w:rsidR="00CF4F7E">
        <w:rPr>
          <w:rFonts w:ascii="Arial" w:eastAsia="EUAlbertina-Regular-Identity-H" w:hAnsi="Arial" w:cs="Arial"/>
          <w:sz w:val="24"/>
          <w:szCs w:val="24"/>
        </w:rPr>
        <w:t xml:space="preserve">l’inserimento delle procedure del CDM nelle verifiche da adottare per </w:t>
      </w:r>
      <w:r w:rsidR="0080286C">
        <w:rPr>
          <w:rFonts w:ascii="Arial" w:eastAsia="EUAlbertina-Regular-Identity-H" w:hAnsi="Arial" w:cs="Arial"/>
          <w:sz w:val="24"/>
          <w:szCs w:val="24"/>
        </w:rPr>
        <w:t xml:space="preserve">l’emissione dei crediti ecosistemici. </w:t>
      </w:r>
    </w:p>
    <w:p w14:paraId="16078841" w14:textId="77777777" w:rsidR="008068C8" w:rsidRDefault="008068C8" w:rsidP="0080286C">
      <w:pPr>
        <w:widowControl/>
        <w:adjustRightInd w:val="0"/>
        <w:ind w:firstLine="567"/>
        <w:jc w:val="both"/>
        <w:rPr>
          <w:rFonts w:ascii="Arial" w:hAnsi="Arial" w:cs="Arial"/>
          <w:sz w:val="24"/>
          <w:szCs w:val="24"/>
        </w:rPr>
      </w:pPr>
    </w:p>
    <w:p w14:paraId="57E626F0" w14:textId="31B115D6" w:rsidR="007E1B29" w:rsidRDefault="007E1B29" w:rsidP="006332E1">
      <w:pPr>
        <w:pStyle w:val="Corpotesto"/>
        <w:ind w:right="45"/>
        <w:jc w:val="both"/>
        <w:rPr>
          <w:rFonts w:ascii="Arial" w:hAnsi="Arial" w:cs="Arial"/>
          <w:sz w:val="24"/>
          <w:szCs w:val="24"/>
        </w:rPr>
      </w:pPr>
    </w:p>
    <w:p w14:paraId="719F707B" w14:textId="1C8F871E" w:rsidR="00186462" w:rsidRDefault="00943156" w:rsidP="00943156">
      <w:pPr>
        <w:pStyle w:val="Titolo2"/>
      </w:pPr>
      <w:bookmarkStart w:id="4" w:name="_Toc74265393"/>
      <w:r>
        <w:t>Gli</w:t>
      </w:r>
      <w:r w:rsidR="00365FA0">
        <w:t xml:space="preserve"> elementi della normativa del mercato EU ETS utili all’e</w:t>
      </w:r>
      <w:r>
        <w:t>missione dei crediti ecosistemici</w:t>
      </w:r>
      <w:bookmarkEnd w:id="4"/>
    </w:p>
    <w:p w14:paraId="1114D53D" w14:textId="77777777" w:rsidR="00186462" w:rsidRDefault="00186462" w:rsidP="006332E1">
      <w:pPr>
        <w:pStyle w:val="Corpotesto"/>
        <w:ind w:right="45"/>
        <w:jc w:val="both"/>
        <w:rPr>
          <w:rFonts w:ascii="Arial" w:hAnsi="Arial" w:cs="Arial"/>
          <w:sz w:val="24"/>
          <w:szCs w:val="24"/>
        </w:rPr>
      </w:pPr>
    </w:p>
    <w:p w14:paraId="3A27C658" w14:textId="447800FB" w:rsidR="00186462" w:rsidRDefault="00186462" w:rsidP="00186462">
      <w:pPr>
        <w:pStyle w:val="Corpotesto"/>
        <w:ind w:right="45" w:firstLine="567"/>
        <w:jc w:val="both"/>
        <w:rPr>
          <w:rFonts w:ascii="Arial" w:hAnsi="Arial" w:cs="Arial"/>
          <w:sz w:val="24"/>
          <w:szCs w:val="24"/>
        </w:rPr>
      </w:pPr>
      <w:r w:rsidRPr="00932174">
        <w:rPr>
          <w:rFonts w:ascii="Arial" w:hAnsi="Arial" w:cs="Arial"/>
          <w:sz w:val="24"/>
          <w:szCs w:val="24"/>
        </w:rPr>
        <w:t>Ai fini del progetto, il mercato EU ETS può offrire un contributo importante in quanto</w:t>
      </w:r>
      <w:r>
        <w:rPr>
          <w:rFonts w:ascii="Arial" w:hAnsi="Arial" w:cs="Arial"/>
          <w:sz w:val="24"/>
          <w:szCs w:val="24"/>
        </w:rPr>
        <w:t xml:space="preserve"> offre un prezzo di riferimento possibile dei crediti ecosistemici. Infatti, le attività di gestione forestale sostenibile volte all’incremento del carbon stock, sono misurabili in CO</w:t>
      </w:r>
      <w:r w:rsidRPr="00423453">
        <w:rPr>
          <w:rFonts w:ascii="Arial" w:hAnsi="Arial" w:cs="Arial"/>
          <w:sz w:val="24"/>
          <w:szCs w:val="24"/>
          <w:vertAlign w:val="subscript"/>
        </w:rPr>
        <w:t>2</w:t>
      </w:r>
      <w:r>
        <w:rPr>
          <w:rFonts w:ascii="Arial" w:hAnsi="Arial" w:cs="Arial"/>
          <w:sz w:val="24"/>
          <w:szCs w:val="24"/>
        </w:rPr>
        <w:t xml:space="preserve"> addizionale stoccata, coerentemente con l’approccio del meccanismo CDM del Protocollo di Kyoto e le regole stabilite per il Registro </w:t>
      </w:r>
      <w:r w:rsidR="00943156">
        <w:rPr>
          <w:rFonts w:ascii="Arial" w:hAnsi="Arial" w:cs="Arial"/>
          <w:sz w:val="24"/>
          <w:szCs w:val="24"/>
        </w:rPr>
        <w:t xml:space="preserve">dei gas GHG stabilito </w:t>
      </w:r>
      <w:r w:rsidR="00730CA3">
        <w:rPr>
          <w:rFonts w:ascii="Arial" w:hAnsi="Arial" w:cs="Arial"/>
          <w:sz w:val="24"/>
          <w:szCs w:val="24"/>
        </w:rPr>
        <w:t xml:space="preserve">nel Regolamento 525/2013, ora sostituito dal Regolamento 1999/2018. </w:t>
      </w:r>
      <w:r w:rsidR="00910331">
        <w:rPr>
          <w:rFonts w:ascii="Arial" w:hAnsi="Arial" w:cs="Arial"/>
          <w:sz w:val="24"/>
          <w:szCs w:val="24"/>
        </w:rPr>
        <w:t>Sebbene le attività LULUCF non siano</w:t>
      </w:r>
      <w:r w:rsidR="00D129A6">
        <w:rPr>
          <w:rFonts w:ascii="Arial" w:hAnsi="Arial" w:cs="Arial"/>
          <w:sz w:val="24"/>
          <w:szCs w:val="24"/>
        </w:rPr>
        <w:t xml:space="preserve"> attualmente considerate all’interno del mercato EU ETS, tuttavia è indubbio che </w:t>
      </w:r>
      <w:r w:rsidR="004E39B4">
        <w:rPr>
          <w:rFonts w:ascii="Arial" w:hAnsi="Arial" w:cs="Arial"/>
          <w:sz w:val="24"/>
          <w:szCs w:val="24"/>
        </w:rPr>
        <w:t xml:space="preserve">anche </w:t>
      </w:r>
      <w:r w:rsidR="006A2836">
        <w:rPr>
          <w:rFonts w:ascii="Arial" w:hAnsi="Arial" w:cs="Arial"/>
          <w:sz w:val="24"/>
          <w:szCs w:val="24"/>
        </w:rPr>
        <w:t>per l’emissione di crediti su base volontaria avere un prezzo di riferimento di questo mercato è un aspetto di notevole importanza, in q</w:t>
      </w:r>
      <w:r w:rsidR="00C65770">
        <w:rPr>
          <w:rFonts w:ascii="Arial" w:hAnsi="Arial" w:cs="Arial"/>
          <w:sz w:val="24"/>
          <w:szCs w:val="24"/>
        </w:rPr>
        <w:t xml:space="preserve">uanto offre una quotazione costante. </w:t>
      </w:r>
    </w:p>
    <w:p w14:paraId="4A6B2F28" w14:textId="15557184" w:rsidR="00C65770" w:rsidRDefault="00C65770" w:rsidP="00186462">
      <w:pPr>
        <w:pStyle w:val="Corpotesto"/>
        <w:ind w:right="45" w:firstLine="567"/>
        <w:jc w:val="both"/>
        <w:rPr>
          <w:rFonts w:ascii="Arial" w:hAnsi="Arial" w:cs="Arial"/>
          <w:sz w:val="24"/>
          <w:szCs w:val="24"/>
        </w:rPr>
      </w:pPr>
      <w:r>
        <w:rPr>
          <w:rFonts w:ascii="Arial" w:hAnsi="Arial" w:cs="Arial"/>
          <w:sz w:val="24"/>
          <w:szCs w:val="24"/>
        </w:rPr>
        <w:lastRenderedPageBreak/>
        <w:t xml:space="preserve">L’altro </w:t>
      </w:r>
      <w:r w:rsidR="00BB5247">
        <w:rPr>
          <w:rFonts w:ascii="Arial" w:hAnsi="Arial" w:cs="Arial"/>
          <w:sz w:val="24"/>
          <w:szCs w:val="24"/>
        </w:rPr>
        <w:t xml:space="preserve">aspetto rilevante del mercato EU ETS è quello di mettere in evidenza l’importanza </w:t>
      </w:r>
      <w:r w:rsidR="00EE62A1">
        <w:rPr>
          <w:rFonts w:ascii="Arial" w:hAnsi="Arial" w:cs="Arial"/>
          <w:sz w:val="24"/>
          <w:szCs w:val="24"/>
        </w:rPr>
        <w:t xml:space="preserve">del CDM come elemento da inserire nelle procedure di costruzione e validazione dei crediti ecosistemici o di sostenibilità. </w:t>
      </w:r>
      <w:r w:rsidR="00B7151E">
        <w:rPr>
          <w:rFonts w:ascii="Arial" w:hAnsi="Arial" w:cs="Arial"/>
          <w:sz w:val="24"/>
          <w:szCs w:val="24"/>
        </w:rPr>
        <w:t>È</w:t>
      </w:r>
      <w:r w:rsidR="00D7025F">
        <w:rPr>
          <w:rFonts w:ascii="Arial" w:hAnsi="Arial" w:cs="Arial"/>
          <w:sz w:val="24"/>
          <w:szCs w:val="24"/>
        </w:rPr>
        <w:t xml:space="preserve"> vero che </w:t>
      </w:r>
      <w:r w:rsidR="001553BC">
        <w:rPr>
          <w:rFonts w:ascii="Arial" w:hAnsi="Arial" w:cs="Arial"/>
          <w:sz w:val="24"/>
          <w:szCs w:val="24"/>
        </w:rPr>
        <w:t>il CDM è pensato primariamente per le applicazioni nei Paesi in via di Sviluppo</w:t>
      </w:r>
      <w:r w:rsidR="00F0235C">
        <w:rPr>
          <w:rFonts w:ascii="Arial" w:hAnsi="Arial" w:cs="Arial"/>
          <w:sz w:val="24"/>
          <w:szCs w:val="24"/>
        </w:rPr>
        <w:t xml:space="preserve"> (Paesi non </w:t>
      </w:r>
      <w:proofErr w:type="spellStart"/>
      <w:r w:rsidR="00F0235C">
        <w:rPr>
          <w:rFonts w:ascii="Arial" w:hAnsi="Arial" w:cs="Arial"/>
          <w:sz w:val="24"/>
          <w:szCs w:val="24"/>
        </w:rPr>
        <w:t>Annex</w:t>
      </w:r>
      <w:proofErr w:type="spellEnd"/>
      <w:r w:rsidR="00F0235C">
        <w:rPr>
          <w:rFonts w:ascii="Arial" w:hAnsi="Arial" w:cs="Arial"/>
          <w:sz w:val="24"/>
          <w:szCs w:val="24"/>
        </w:rPr>
        <w:t xml:space="preserve"> I del Protocollo di Kyoto) ma è anche vero che con l’Accordo di Parigi del 2015 </w:t>
      </w:r>
      <w:r w:rsidR="00157231">
        <w:rPr>
          <w:rFonts w:ascii="Arial" w:hAnsi="Arial" w:cs="Arial"/>
          <w:sz w:val="24"/>
          <w:szCs w:val="24"/>
        </w:rPr>
        <w:t xml:space="preserve">questa distinzione è sostanzialmente venuta meno e, inoltre, il CDM </w:t>
      </w:r>
      <w:r w:rsidR="00386698">
        <w:rPr>
          <w:rFonts w:ascii="Arial" w:hAnsi="Arial" w:cs="Arial"/>
          <w:sz w:val="24"/>
          <w:szCs w:val="24"/>
        </w:rPr>
        <w:t>si può benissimo applicare anche a progetti di riduzione della CO</w:t>
      </w:r>
      <w:r w:rsidR="00386698" w:rsidRPr="00423453">
        <w:rPr>
          <w:rFonts w:ascii="Arial" w:hAnsi="Arial" w:cs="Arial"/>
          <w:sz w:val="24"/>
          <w:szCs w:val="24"/>
          <w:vertAlign w:val="subscript"/>
        </w:rPr>
        <w:t>2</w:t>
      </w:r>
      <w:r w:rsidR="00386698">
        <w:rPr>
          <w:rFonts w:ascii="Arial" w:hAnsi="Arial" w:cs="Arial"/>
          <w:sz w:val="24"/>
          <w:szCs w:val="24"/>
        </w:rPr>
        <w:t xml:space="preserve"> come quelli</w:t>
      </w:r>
      <w:r w:rsidR="00577D02">
        <w:rPr>
          <w:rFonts w:ascii="Arial" w:hAnsi="Arial" w:cs="Arial"/>
          <w:sz w:val="24"/>
          <w:szCs w:val="24"/>
        </w:rPr>
        <w:t xml:space="preserve"> di gestione forestale sostenibile volta ad incrementare il carbon stock. </w:t>
      </w:r>
    </w:p>
    <w:p w14:paraId="64DE88DF" w14:textId="6A92226F" w:rsidR="009431C6" w:rsidRPr="00932174" w:rsidRDefault="00716EDE" w:rsidP="009431C6">
      <w:pPr>
        <w:widowControl/>
        <w:adjustRightInd w:val="0"/>
        <w:ind w:firstLine="567"/>
        <w:jc w:val="both"/>
        <w:rPr>
          <w:rFonts w:ascii="Arial" w:eastAsia="EUAlbertina-Regular-Identity-H" w:hAnsi="Arial" w:cs="Arial"/>
          <w:sz w:val="24"/>
          <w:szCs w:val="24"/>
        </w:rPr>
      </w:pPr>
      <w:r>
        <w:rPr>
          <w:rFonts w:ascii="Arial" w:eastAsia="EUAlbertina-Regular-Identity-H" w:hAnsi="Arial" w:cs="Arial"/>
          <w:sz w:val="24"/>
          <w:szCs w:val="24"/>
        </w:rPr>
        <w:t>Tuttavia, l</w:t>
      </w:r>
      <w:r w:rsidR="009431C6" w:rsidRPr="00932174">
        <w:rPr>
          <w:rFonts w:ascii="Arial" w:eastAsia="EUAlbertina-Regular-Identity-H" w:hAnsi="Arial" w:cs="Arial"/>
          <w:sz w:val="24"/>
          <w:szCs w:val="24"/>
        </w:rPr>
        <w:t>a preclusione verso l’uso di crediti CER dal settore LULUCF mostra un importante elemento di criticità: la mancanza di un sistema certo e credibile per valutare l’addizionalità della CO</w:t>
      </w:r>
      <w:r w:rsidR="009431C6" w:rsidRPr="00423453">
        <w:rPr>
          <w:rFonts w:ascii="Arial" w:eastAsia="EUAlbertina-Regular-Identity-H" w:hAnsi="Arial" w:cs="Arial"/>
          <w:sz w:val="24"/>
          <w:szCs w:val="24"/>
          <w:vertAlign w:val="subscript"/>
        </w:rPr>
        <w:t>2</w:t>
      </w:r>
      <w:r w:rsidR="009431C6" w:rsidRPr="00932174">
        <w:rPr>
          <w:rFonts w:ascii="Arial" w:eastAsia="EUAlbertina-Regular-Identity-H" w:hAnsi="Arial" w:cs="Arial"/>
          <w:sz w:val="24"/>
          <w:szCs w:val="24"/>
        </w:rPr>
        <w:t xml:space="preserve"> negli interventi di gestione forestale sostenibile. Senza questo processo non è pensabile di sviluppare </w:t>
      </w:r>
      <w:r w:rsidR="00CC23CE">
        <w:rPr>
          <w:rFonts w:ascii="Arial" w:eastAsia="EUAlbertina-Regular-Identity-H" w:hAnsi="Arial" w:cs="Arial"/>
          <w:sz w:val="24"/>
          <w:szCs w:val="24"/>
        </w:rPr>
        <w:t xml:space="preserve">una </w:t>
      </w:r>
      <w:r w:rsidR="009174B6">
        <w:rPr>
          <w:rFonts w:ascii="Arial" w:eastAsia="EUAlbertina-Regular-Identity-H" w:hAnsi="Arial" w:cs="Arial"/>
          <w:sz w:val="24"/>
          <w:szCs w:val="24"/>
        </w:rPr>
        <w:t xml:space="preserve">futura </w:t>
      </w:r>
      <w:r w:rsidR="00CC23CE">
        <w:rPr>
          <w:rFonts w:ascii="Arial" w:eastAsia="EUAlbertina-Regular-Identity-H" w:hAnsi="Arial" w:cs="Arial"/>
          <w:sz w:val="24"/>
          <w:szCs w:val="24"/>
        </w:rPr>
        <w:t xml:space="preserve">modifica dell’assetto normativo </w:t>
      </w:r>
      <w:r w:rsidR="00D107C1">
        <w:rPr>
          <w:rFonts w:ascii="Arial" w:eastAsia="EUAlbertina-Regular-Identity-H" w:hAnsi="Arial" w:cs="Arial"/>
          <w:sz w:val="24"/>
          <w:szCs w:val="24"/>
        </w:rPr>
        <w:t xml:space="preserve">attuale </w:t>
      </w:r>
      <w:r w:rsidR="00934492">
        <w:rPr>
          <w:rFonts w:ascii="Arial" w:eastAsia="EUAlbertina-Regular-Identity-H" w:hAnsi="Arial" w:cs="Arial"/>
          <w:sz w:val="24"/>
          <w:szCs w:val="24"/>
        </w:rPr>
        <w:t xml:space="preserve">che introduca </w:t>
      </w:r>
      <w:r w:rsidR="008E666A">
        <w:rPr>
          <w:rFonts w:ascii="Arial" w:eastAsia="EUAlbertina-Regular-Identity-H" w:hAnsi="Arial" w:cs="Arial"/>
          <w:sz w:val="24"/>
          <w:szCs w:val="24"/>
        </w:rPr>
        <w:t>l’accettazione de</w:t>
      </w:r>
      <w:r w:rsidR="002240B7">
        <w:rPr>
          <w:rFonts w:ascii="Arial" w:eastAsia="EUAlbertina-Regular-Identity-H" w:hAnsi="Arial" w:cs="Arial"/>
          <w:sz w:val="24"/>
          <w:szCs w:val="24"/>
        </w:rPr>
        <w:t>ll’</w:t>
      </w:r>
      <w:r w:rsidR="009431C6" w:rsidRPr="00932174">
        <w:rPr>
          <w:rFonts w:ascii="Arial" w:eastAsia="EUAlbertina-Regular-Identity-H" w:hAnsi="Arial" w:cs="Arial"/>
          <w:sz w:val="24"/>
          <w:szCs w:val="24"/>
        </w:rPr>
        <w:t>emissione dei crediti ecosistemici i</w:t>
      </w:r>
      <w:r w:rsidR="008E666A">
        <w:rPr>
          <w:rFonts w:ascii="Arial" w:eastAsia="EUAlbertina-Regular-Identity-H" w:hAnsi="Arial" w:cs="Arial"/>
          <w:sz w:val="24"/>
          <w:szCs w:val="24"/>
        </w:rPr>
        <w:t>n</w:t>
      </w:r>
      <w:r w:rsidR="009431C6" w:rsidRPr="00932174">
        <w:rPr>
          <w:rFonts w:ascii="Arial" w:eastAsia="EUAlbertina-Regular-Identity-H" w:hAnsi="Arial" w:cs="Arial"/>
          <w:sz w:val="24"/>
          <w:szCs w:val="24"/>
        </w:rPr>
        <w:t xml:space="preserve"> mercati obbligatori come EU ETS. </w:t>
      </w:r>
    </w:p>
    <w:p w14:paraId="4835BB03" w14:textId="220568DA" w:rsidR="009431C6" w:rsidRPr="00932174" w:rsidRDefault="009431C6" w:rsidP="009431C6">
      <w:pPr>
        <w:widowControl/>
        <w:adjustRightInd w:val="0"/>
        <w:ind w:firstLine="567"/>
        <w:jc w:val="both"/>
        <w:rPr>
          <w:rFonts w:ascii="Arial" w:eastAsia="EUAlbertina-Regular-Identity-H" w:hAnsi="Arial" w:cs="Arial"/>
          <w:sz w:val="24"/>
          <w:szCs w:val="24"/>
        </w:rPr>
      </w:pPr>
      <w:r w:rsidRPr="00932174">
        <w:rPr>
          <w:rFonts w:ascii="Arial" w:eastAsia="EUAlbertina-Regular-Identity-H" w:hAnsi="Arial" w:cs="Arial"/>
          <w:sz w:val="24"/>
          <w:szCs w:val="24"/>
        </w:rPr>
        <w:t xml:space="preserve">Ne consegue che il meccanismo CDM è un elemento importante per la creazione e il rilascio dei crediti, </w:t>
      </w:r>
      <w:r w:rsidRPr="00B208CB">
        <w:rPr>
          <w:rFonts w:ascii="Arial" w:eastAsia="EUAlbertina-Regular-Identity-H" w:hAnsi="Arial" w:cs="Arial"/>
          <w:i/>
          <w:iCs/>
          <w:sz w:val="24"/>
          <w:szCs w:val="24"/>
        </w:rPr>
        <w:t>ma è solo una condizione necessaria e non sufficiente</w:t>
      </w:r>
      <w:r w:rsidRPr="00932174">
        <w:rPr>
          <w:rFonts w:ascii="Arial" w:eastAsia="EUAlbertina-Regular-Identity-H" w:hAnsi="Arial" w:cs="Arial"/>
          <w:sz w:val="24"/>
          <w:szCs w:val="24"/>
        </w:rPr>
        <w:t xml:space="preserve">. Per far sì che diventi </w:t>
      </w:r>
      <w:r w:rsidR="00B437AE" w:rsidRPr="00180111">
        <w:rPr>
          <w:rFonts w:ascii="Arial" w:eastAsia="EUAlbertina-Regular-Identity-H" w:hAnsi="Arial" w:cs="Arial"/>
          <w:i/>
          <w:iCs/>
          <w:sz w:val="24"/>
          <w:szCs w:val="24"/>
        </w:rPr>
        <w:t xml:space="preserve">potenzialmente </w:t>
      </w:r>
      <w:r w:rsidRPr="00180111">
        <w:rPr>
          <w:rFonts w:ascii="Arial" w:eastAsia="EUAlbertina-Regular-Identity-H" w:hAnsi="Arial" w:cs="Arial"/>
          <w:i/>
          <w:iCs/>
          <w:sz w:val="24"/>
          <w:szCs w:val="24"/>
        </w:rPr>
        <w:t>sufficiente</w:t>
      </w:r>
      <w:r w:rsidR="00B437AE" w:rsidRPr="00180111">
        <w:rPr>
          <w:rFonts w:ascii="Arial" w:eastAsia="EUAlbertina-Regular-Identity-H" w:hAnsi="Arial" w:cs="Arial"/>
          <w:i/>
          <w:iCs/>
          <w:sz w:val="24"/>
          <w:szCs w:val="24"/>
        </w:rPr>
        <w:t xml:space="preserve"> in un futuro </w:t>
      </w:r>
      <w:r w:rsidR="00180111" w:rsidRPr="00180111">
        <w:rPr>
          <w:rFonts w:ascii="Arial" w:eastAsia="EUAlbertina-Regular-Identity-H" w:hAnsi="Arial" w:cs="Arial"/>
          <w:i/>
          <w:iCs/>
          <w:sz w:val="24"/>
          <w:szCs w:val="24"/>
        </w:rPr>
        <w:t>più o meno lontano</w:t>
      </w:r>
      <w:r w:rsidR="00180111">
        <w:rPr>
          <w:rFonts w:ascii="Arial" w:eastAsia="EUAlbertina-Regular-Identity-H" w:hAnsi="Arial" w:cs="Arial"/>
          <w:sz w:val="24"/>
          <w:szCs w:val="24"/>
        </w:rPr>
        <w:t>,</w:t>
      </w:r>
      <w:r w:rsidRPr="00932174">
        <w:rPr>
          <w:rFonts w:ascii="Arial" w:eastAsia="EUAlbertina-Regular-Identity-H" w:hAnsi="Arial" w:cs="Arial"/>
          <w:sz w:val="24"/>
          <w:szCs w:val="24"/>
        </w:rPr>
        <w:t xml:space="preserve"> occorre definire un sistema credibile e garantito di valutazione della C</w:t>
      </w:r>
      <w:r>
        <w:rPr>
          <w:rFonts w:ascii="Arial" w:eastAsia="EUAlbertina-Regular-Identity-H" w:hAnsi="Arial" w:cs="Arial"/>
          <w:sz w:val="24"/>
          <w:szCs w:val="24"/>
        </w:rPr>
        <w:t>O</w:t>
      </w:r>
      <w:r w:rsidRPr="00423453">
        <w:rPr>
          <w:rFonts w:ascii="Arial" w:eastAsia="EUAlbertina-Regular-Identity-H" w:hAnsi="Arial" w:cs="Arial"/>
          <w:sz w:val="24"/>
          <w:szCs w:val="24"/>
          <w:vertAlign w:val="subscript"/>
        </w:rPr>
        <w:t>2</w:t>
      </w:r>
      <w:r w:rsidRPr="00932174">
        <w:rPr>
          <w:rFonts w:ascii="Arial" w:eastAsia="EUAlbertina-Regular-Identity-H" w:hAnsi="Arial" w:cs="Arial"/>
          <w:sz w:val="24"/>
          <w:szCs w:val="24"/>
        </w:rPr>
        <w:t xml:space="preserve"> stoccata, che sia in linea con le linee guida dell’IPCC</w:t>
      </w:r>
      <w:r w:rsidR="00324930">
        <w:rPr>
          <w:rFonts w:ascii="Arial" w:eastAsia="EUAlbertina-Regular-Identity-H" w:hAnsi="Arial" w:cs="Arial"/>
          <w:sz w:val="24"/>
          <w:szCs w:val="24"/>
        </w:rPr>
        <w:t xml:space="preserve">, </w:t>
      </w:r>
      <w:r w:rsidR="008A4848">
        <w:rPr>
          <w:rFonts w:ascii="Arial" w:eastAsia="EUAlbertina-Regular-Identity-H" w:hAnsi="Arial" w:cs="Arial"/>
          <w:sz w:val="24"/>
          <w:szCs w:val="24"/>
        </w:rPr>
        <w:t xml:space="preserve">stabilisca un sistema di contabilizzazione in accordo con </w:t>
      </w:r>
      <w:r w:rsidR="00AE1C21">
        <w:rPr>
          <w:rFonts w:ascii="Arial" w:eastAsia="EUAlbertina-Regular-Identity-H" w:hAnsi="Arial" w:cs="Arial"/>
          <w:sz w:val="24"/>
          <w:szCs w:val="24"/>
        </w:rPr>
        <w:t>le procedure di valutazione adottate da</w:t>
      </w:r>
      <w:r w:rsidR="005A0B9A">
        <w:rPr>
          <w:rFonts w:ascii="Arial" w:eastAsia="EUAlbertina-Regular-Identity-H" w:hAnsi="Arial" w:cs="Arial"/>
          <w:sz w:val="24"/>
          <w:szCs w:val="24"/>
        </w:rPr>
        <w:t>gli organismi deputati a stilare l’inventario del gas GHG (in Italia, ISPRA) e sia sottoposta a un meccanismo di revisione</w:t>
      </w:r>
      <w:r w:rsidRPr="00932174">
        <w:rPr>
          <w:rFonts w:ascii="Arial" w:eastAsia="EUAlbertina-Regular-Identity-H" w:hAnsi="Arial" w:cs="Arial"/>
          <w:sz w:val="24"/>
          <w:szCs w:val="24"/>
        </w:rPr>
        <w:t>. Questo è uno degli obbiettivi principali delle Azioni C1 e C4 del Progetto LIFE CO2PES&amp;PEF</w:t>
      </w:r>
      <w:r w:rsidR="00180111">
        <w:rPr>
          <w:rFonts w:ascii="Arial" w:eastAsia="EUAlbertina-Regular-Identity-H" w:hAnsi="Arial" w:cs="Arial"/>
          <w:sz w:val="24"/>
          <w:szCs w:val="24"/>
        </w:rPr>
        <w:t>, perché tale obbiettivo darebbe comunque credibilità e robustezza al sistema dei crediti</w:t>
      </w:r>
      <w:r w:rsidRPr="00932174">
        <w:rPr>
          <w:rFonts w:ascii="Arial" w:eastAsia="EUAlbertina-Regular-Identity-H" w:hAnsi="Arial" w:cs="Arial"/>
          <w:sz w:val="24"/>
          <w:szCs w:val="24"/>
        </w:rPr>
        <w:t>.</w:t>
      </w:r>
    </w:p>
    <w:p w14:paraId="523CB3F2" w14:textId="7480E84E" w:rsidR="004F4ABB" w:rsidRDefault="004F4ABB" w:rsidP="00186462">
      <w:pPr>
        <w:pStyle w:val="Corpotesto"/>
        <w:ind w:right="45" w:firstLine="567"/>
        <w:jc w:val="both"/>
        <w:rPr>
          <w:rFonts w:ascii="Arial" w:hAnsi="Arial" w:cs="Arial"/>
          <w:sz w:val="24"/>
          <w:szCs w:val="24"/>
        </w:rPr>
      </w:pPr>
      <w:r>
        <w:rPr>
          <w:rFonts w:ascii="Arial" w:hAnsi="Arial" w:cs="Arial"/>
          <w:sz w:val="24"/>
          <w:szCs w:val="24"/>
        </w:rPr>
        <w:t>Un</w:t>
      </w:r>
      <w:r w:rsidR="002F4DE1">
        <w:rPr>
          <w:rFonts w:ascii="Arial" w:hAnsi="Arial" w:cs="Arial"/>
          <w:sz w:val="24"/>
          <w:szCs w:val="24"/>
        </w:rPr>
        <w:t xml:space="preserve"> </w:t>
      </w:r>
      <w:r w:rsidR="007522CE">
        <w:rPr>
          <w:rFonts w:ascii="Arial" w:hAnsi="Arial" w:cs="Arial"/>
          <w:sz w:val="24"/>
          <w:szCs w:val="24"/>
        </w:rPr>
        <w:t xml:space="preserve">altro aspetto molto importante da considerare è la confrontabilità </w:t>
      </w:r>
      <w:r w:rsidR="00DD0556">
        <w:rPr>
          <w:rFonts w:ascii="Arial" w:hAnsi="Arial" w:cs="Arial"/>
          <w:sz w:val="24"/>
          <w:szCs w:val="24"/>
        </w:rPr>
        <w:t>delle procedure di emissione dei crediti, siano essi certificati per mercati obbligatori come quello EU ETS o</w:t>
      </w:r>
      <w:r w:rsidR="00592664">
        <w:rPr>
          <w:rFonts w:ascii="Arial" w:hAnsi="Arial" w:cs="Arial"/>
          <w:sz w:val="24"/>
          <w:szCs w:val="24"/>
        </w:rPr>
        <w:t>ppure volontari (esempio il Gold Standard</w:t>
      </w:r>
      <w:r w:rsidR="00EE03CE">
        <w:rPr>
          <w:rFonts w:ascii="Arial" w:hAnsi="Arial" w:cs="Arial"/>
          <w:sz w:val="24"/>
          <w:szCs w:val="24"/>
        </w:rPr>
        <w:t>,</w:t>
      </w:r>
      <w:r w:rsidR="00592664">
        <w:rPr>
          <w:rFonts w:ascii="Arial" w:hAnsi="Arial" w:cs="Arial"/>
          <w:sz w:val="24"/>
          <w:szCs w:val="24"/>
        </w:rPr>
        <w:t xml:space="preserve"> VCR </w:t>
      </w:r>
      <w:proofErr w:type="spellStart"/>
      <w:r w:rsidR="00592664">
        <w:rPr>
          <w:rFonts w:ascii="Arial" w:hAnsi="Arial" w:cs="Arial"/>
          <w:sz w:val="24"/>
          <w:szCs w:val="24"/>
        </w:rPr>
        <w:t>Verra</w:t>
      </w:r>
      <w:proofErr w:type="spellEnd"/>
      <w:r w:rsidR="00EE03CE">
        <w:rPr>
          <w:rFonts w:ascii="Arial" w:hAnsi="Arial" w:cs="Arial"/>
          <w:sz w:val="24"/>
          <w:szCs w:val="24"/>
        </w:rPr>
        <w:t>, Plan Vivo, etc.</w:t>
      </w:r>
      <w:r w:rsidR="00592664">
        <w:rPr>
          <w:rFonts w:ascii="Arial" w:hAnsi="Arial" w:cs="Arial"/>
          <w:sz w:val="24"/>
          <w:szCs w:val="24"/>
        </w:rPr>
        <w:t>)</w:t>
      </w:r>
      <w:r w:rsidR="00EE03CE">
        <w:rPr>
          <w:rFonts w:ascii="Arial" w:hAnsi="Arial" w:cs="Arial"/>
          <w:sz w:val="24"/>
          <w:szCs w:val="24"/>
        </w:rPr>
        <w:t xml:space="preserve">. Ognuno di essi si fonda sul CDM, oltre che su procedure specifiche </w:t>
      </w:r>
      <w:r w:rsidR="0095178B">
        <w:rPr>
          <w:rFonts w:ascii="Arial" w:hAnsi="Arial" w:cs="Arial"/>
          <w:sz w:val="24"/>
          <w:szCs w:val="24"/>
        </w:rPr>
        <w:t xml:space="preserve">di ogni schema e condividere la metodologia </w:t>
      </w:r>
      <w:r w:rsidR="007B2E7F">
        <w:rPr>
          <w:rFonts w:ascii="Arial" w:hAnsi="Arial" w:cs="Arial"/>
          <w:sz w:val="24"/>
          <w:szCs w:val="24"/>
        </w:rPr>
        <w:t>nelle sue linee essenziali può rappresentare un elemento importante per un futuro riconoscimento reciproco</w:t>
      </w:r>
      <w:r w:rsidR="00061F29">
        <w:rPr>
          <w:rFonts w:ascii="Arial" w:hAnsi="Arial" w:cs="Arial"/>
          <w:sz w:val="24"/>
          <w:szCs w:val="24"/>
        </w:rPr>
        <w:t>.</w:t>
      </w:r>
    </w:p>
    <w:p w14:paraId="69F347A6" w14:textId="1CFFB0E6" w:rsidR="00061F29" w:rsidRDefault="00223CCB" w:rsidP="000062AD">
      <w:pPr>
        <w:pStyle w:val="Corpotesto"/>
        <w:ind w:right="45" w:firstLine="567"/>
        <w:jc w:val="both"/>
        <w:rPr>
          <w:rFonts w:ascii="Arial" w:hAnsi="Arial" w:cs="Arial"/>
          <w:sz w:val="24"/>
          <w:szCs w:val="24"/>
        </w:rPr>
      </w:pPr>
      <w:r>
        <w:rPr>
          <w:rFonts w:ascii="Arial" w:hAnsi="Arial" w:cs="Arial"/>
          <w:sz w:val="24"/>
          <w:szCs w:val="24"/>
        </w:rPr>
        <w:t>Infine</w:t>
      </w:r>
      <w:r w:rsidR="00001D15">
        <w:rPr>
          <w:rFonts w:ascii="Arial" w:hAnsi="Arial" w:cs="Arial"/>
          <w:sz w:val="24"/>
          <w:szCs w:val="24"/>
        </w:rPr>
        <w:t>, è legittimo porsi la domanda se in futuro i crediti ecosistemici</w:t>
      </w:r>
      <w:r w:rsidR="0095284B">
        <w:rPr>
          <w:rFonts w:ascii="Arial" w:hAnsi="Arial" w:cs="Arial"/>
          <w:sz w:val="24"/>
          <w:szCs w:val="24"/>
        </w:rPr>
        <w:t xml:space="preserve">, </w:t>
      </w:r>
      <w:r w:rsidR="00CC43EA">
        <w:rPr>
          <w:rFonts w:ascii="Arial" w:hAnsi="Arial" w:cs="Arial"/>
          <w:sz w:val="24"/>
          <w:szCs w:val="24"/>
        </w:rPr>
        <w:t>qualora fossero</w:t>
      </w:r>
      <w:r w:rsidR="0095284B">
        <w:rPr>
          <w:rFonts w:ascii="Arial" w:hAnsi="Arial" w:cs="Arial"/>
          <w:sz w:val="24"/>
          <w:szCs w:val="24"/>
        </w:rPr>
        <w:t xml:space="preserve"> incentrati su procedure certe e riconosciute a livello internazionale, non possano essere </w:t>
      </w:r>
      <w:r w:rsidR="001C4B7C">
        <w:rPr>
          <w:rFonts w:ascii="Arial" w:hAnsi="Arial" w:cs="Arial"/>
          <w:sz w:val="24"/>
          <w:szCs w:val="24"/>
        </w:rPr>
        <w:t>trasformati in EUA e venduti direttamente sul mercato EU ETS</w:t>
      </w:r>
      <w:r w:rsidR="00B94EB8">
        <w:rPr>
          <w:rFonts w:ascii="Arial" w:hAnsi="Arial" w:cs="Arial"/>
          <w:sz w:val="24"/>
          <w:szCs w:val="24"/>
        </w:rPr>
        <w:t xml:space="preserve">, magari con dei limiti di quantità, come ad esempio una quota </w:t>
      </w:r>
      <w:r w:rsidR="001C48E6">
        <w:rPr>
          <w:rFonts w:ascii="Arial" w:hAnsi="Arial" w:cs="Arial"/>
          <w:sz w:val="24"/>
          <w:szCs w:val="24"/>
        </w:rPr>
        <w:t>massima del totale disponibile di un SM in un dato anno</w:t>
      </w:r>
      <w:r w:rsidR="001C4B7C">
        <w:rPr>
          <w:rFonts w:ascii="Arial" w:hAnsi="Arial" w:cs="Arial"/>
          <w:sz w:val="24"/>
          <w:szCs w:val="24"/>
        </w:rPr>
        <w:t xml:space="preserve">. </w:t>
      </w:r>
      <w:r w:rsidR="00651317">
        <w:rPr>
          <w:rFonts w:ascii="Arial" w:hAnsi="Arial" w:cs="Arial"/>
          <w:sz w:val="24"/>
          <w:szCs w:val="24"/>
        </w:rPr>
        <w:t xml:space="preserve">Si </w:t>
      </w:r>
      <w:r w:rsidR="00651317" w:rsidRPr="000062AD">
        <w:rPr>
          <w:rFonts w:ascii="Arial" w:hAnsi="Arial" w:cs="Arial"/>
          <w:i/>
          <w:iCs/>
          <w:sz w:val="24"/>
          <w:szCs w:val="24"/>
        </w:rPr>
        <w:t>ribadisce che questo non è attualmente possibile</w:t>
      </w:r>
      <w:r w:rsidR="000062AD">
        <w:rPr>
          <w:rFonts w:ascii="Arial" w:hAnsi="Arial" w:cs="Arial"/>
          <w:sz w:val="24"/>
          <w:szCs w:val="24"/>
        </w:rPr>
        <w:t xml:space="preserve"> </w:t>
      </w:r>
      <w:r w:rsidR="003E3FE1">
        <w:rPr>
          <w:rFonts w:ascii="Arial" w:hAnsi="Arial" w:cs="Arial"/>
          <w:sz w:val="24"/>
          <w:szCs w:val="24"/>
        </w:rPr>
        <w:t>in quanto</w:t>
      </w:r>
      <w:r w:rsidR="00EA3E4F">
        <w:rPr>
          <w:rFonts w:ascii="Arial" w:hAnsi="Arial" w:cs="Arial"/>
          <w:sz w:val="24"/>
          <w:szCs w:val="24"/>
        </w:rPr>
        <w:t xml:space="preserve">, come si è osservato dal Regolamento </w:t>
      </w:r>
      <w:r w:rsidR="00AF20C0">
        <w:rPr>
          <w:rFonts w:ascii="Arial" w:hAnsi="Arial" w:cs="Arial"/>
          <w:sz w:val="24"/>
          <w:szCs w:val="24"/>
        </w:rPr>
        <w:t>101/2004/CE</w:t>
      </w:r>
      <w:r w:rsidR="003E3FE1">
        <w:rPr>
          <w:rFonts w:ascii="Arial" w:hAnsi="Arial" w:cs="Arial"/>
          <w:sz w:val="24"/>
          <w:szCs w:val="24"/>
        </w:rPr>
        <w:t>, è esplicitamente escluso dalla normativa</w:t>
      </w:r>
      <w:r w:rsidR="00ED22CE">
        <w:rPr>
          <w:rFonts w:ascii="Arial" w:hAnsi="Arial" w:cs="Arial"/>
          <w:sz w:val="24"/>
          <w:szCs w:val="24"/>
        </w:rPr>
        <w:t xml:space="preserve"> e questo è </w:t>
      </w:r>
      <w:r w:rsidR="007C530F">
        <w:rPr>
          <w:rFonts w:ascii="Arial" w:hAnsi="Arial" w:cs="Arial"/>
          <w:sz w:val="24"/>
          <w:szCs w:val="24"/>
        </w:rPr>
        <w:t>confermato anche nella normativa successiva</w:t>
      </w:r>
      <w:r w:rsidR="003E3FE1">
        <w:rPr>
          <w:rFonts w:ascii="Arial" w:hAnsi="Arial" w:cs="Arial"/>
          <w:sz w:val="24"/>
          <w:szCs w:val="24"/>
        </w:rPr>
        <w:t xml:space="preserve">. Ma </w:t>
      </w:r>
      <w:r w:rsidR="00CD44DC">
        <w:rPr>
          <w:rFonts w:ascii="Arial" w:hAnsi="Arial" w:cs="Arial"/>
          <w:sz w:val="24"/>
          <w:szCs w:val="24"/>
        </w:rPr>
        <w:t>nella prospettiva di integrare maggiormente le attività LULUCF nel quadro delle azioni sul clima</w:t>
      </w:r>
      <w:r w:rsidR="005E54C8">
        <w:rPr>
          <w:rFonts w:ascii="Arial" w:hAnsi="Arial" w:cs="Arial"/>
          <w:sz w:val="24"/>
          <w:szCs w:val="24"/>
        </w:rPr>
        <w:t xml:space="preserve"> e qualora le procedure di </w:t>
      </w:r>
      <w:r w:rsidR="002C535F">
        <w:rPr>
          <w:rFonts w:ascii="Arial" w:hAnsi="Arial" w:cs="Arial"/>
          <w:sz w:val="24"/>
          <w:szCs w:val="24"/>
        </w:rPr>
        <w:t>gestione dei crediti siano robuste, affidabili e garantite, è una ipotesi che può trovare un suo sviluppo nelle future policy</w:t>
      </w:r>
      <w:r w:rsidR="00932E4B">
        <w:rPr>
          <w:rFonts w:ascii="Arial" w:hAnsi="Arial" w:cs="Arial"/>
          <w:sz w:val="24"/>
          <w:szCs w:val="24"/>
        </w:rPr>
        <w:t xml:space="preserve"> volte a modificare l’assetto normativo</w:t>
      </w:r>
      <w:r w:rsidR="002C535F">
        <w:rPr>
          <w:rFonts w:ascii="Arial" w:hAnsi="Arial" w:cs="Arial"/>
          <w:sz w:val="24"/>
          <w:szCs w:val="24"/>
        </w:rPr>
        <w:t xml:space="preserve">. </w:t>
      </w:r>
    </w:p>
    <w:p w14:paraId="19E9D1F1" w14:textId="77777777" w:rsidR="00186462" w:rsidRDefault="00186462" w:rsidP="006332E1">
      <w:pPr>
        <w:pStyle w:val="Corpotesto"/>
        <w:ind w:right="45"/>
        <w:jc w:val="both"/>
        <w:rPr>
          <w:rFonts w:ascii="Arial" w:hAnsi="Arial" w:cs="Arial"/>
          <w:sz w:val="24"/>
          <w:szCs w:val="24"/>
        </w:rPr>
      </w:pPr>
    </w:p>
    <w:p w14:paraId="05604C5A" w14:textId="5A5DC93F" w:rsidR="007E1B29" w:rsidRDefault="007E1B29" w:rsidP="006332E1">
      <w:pPr>
        <w:pStyle w:val="Corpotesto"/>
        <w:ind w:right="45"/>
        <w:jc w:val="both"/>
        <w:rPr>
          <w:rFonts w:ascii="Arial" w:hAnsi="Arial" w:cs="Arial"/>
          <w:sz w:val="24"/>
          <w:szCs w:val="24"/>
        </w:rPr>
      </w:pPr>
    </w:p>
    <w:p w14:paraId="1102F2F9" w14:textId="67C2A232" w:rsidR="000A2E77" w:rsidRDefault="000A2E77" w:rsidP="000A2E77">
      <w:pPr>
        <w:pStyle w:val="Titolo1"/>
      </w:pPr>
      <w:bookmarkStart w:id="5" w:name="_Toc74265394"/>
      <w:r>
        <w:t>La Strategia per il Clima dell’Unione Europea</w:t>
      </w:r>
      <w:bookmarkEnd w:id="5"/>
      <w:r>
        <w:t xml:space="preserve"> </w:t>
      </w:r>
    </w:p>
    <w:p w14:paraId="392FE35E" w14:textId="77777777" w:rsidR="000A2E77" w:rsidRDefault="000A2E77" w:rsidP="000A2E77">
      <w:pPr>
        <w:pStyle w:val="Corpotesto"/>
        <w:ind w:right="45"/>
        <w:jc w:val="both"/>
        <w:rPr>
          <w:rFonts w:ascii="Arial" w:hAnsi="Arial" w:cs="Arial"/>
          <w:sz w:val="24"/>
          <w:szCs w:val="24"/>
        </w:rPr>
      </w:pPr>
    </w:p>
    <w:p w14:paraId="7D326DBA" w14:textId="7292CF0B" w:rsidR="000A2E77" w:rsidRDefault="00FF2C43" w:rsidP="000A2E77">
      <w:pPr>
        <w:pStyle w:val="Corpotesto"/>
        <w:ind w:right="45" w:firstLine="567"/>
        <w:jc w:val="both"/>
        <w:rPr>
          <w:rFonts w:ascii="Arial" w:hAnsi="Arial" w:cs="Arial"/>
          <w:sz w:val="24"/>
          <w:szCs w:val="24"/>
        </w:rPr>
      </w:pPr>
      <w:r>
        <w:rPr>
          <w:rFonts w:ascii="Arial" w:hAnsi="Arial" w:cs="Arial"/>
          <w:sz w:val="24"/>
          <w:szCs w:val="24"/>
        </w:rPr>
        <w:t xml:space="preserve">L’integrazione del settore LULUCF </w:t>
      </w:r>
      <w:r w:rsidR="00877910">
        <w:rPr>
          <w:rFonts w:ascii="Arial" w:hAnsi="Arial" w:cs="Arial"/>
          <w:sz w:val="24"/>
          <w:szCs w:val="24"/>
        </w:rPr>
        <w:t xml:space="preserve">come elemento rilevante delle strategie UE sul clima è </w:t>
      </w:r>
      <w:r w:rsidR="00700ED3">
        <w:rPr>
          <w:rFonts w:ascii="Arial" w:hAnsi="Arial" w:cs="Arial"/>
          <w:sz w:val="24"/>
          <w:szCs w:val="24"/>
        </w:rPr>
        <w:t xml:space="preserve">frutto di un processo che ha visto nel Regolamento 525/2013 un passo molto importante ma non conclusivo. Non è possibile cogliere lo stato attuale del processo di integrazione senza considerare </w:t>
      </w:r>
      <w:r w:rsidR="00CD1D0C">
        <w:rPr>
          <w:rFonts w:ascii="Arial" w:hAnsi="Arial" w:cs="Arial"/>
          <w:sz w:val="24"/>
          <w:szCs w:val="24"/>
        </w:rPr>
        <w:t>gli sviluppi della normativa nel triennio 2018-20</w:t>
      </w:r>
      <w:r w:rsidR="003774A4">
        <w:rPr>
          <w:rFonts w:ascii="Arial" w:hAnsi="Arial" w:cs="Arial"/>
          <w:sz w:val="24"/>
          <w:szCs w:val="24"/>
        </w:rPr>
        <w:t xml:space="preserve">. Occorre iniziare prima di tutto da un breve accenno al programma del Green </w:t>
      </w:r>
      <w:proofErr w:type="spellStart"/>
      <w:r w:rsidR="003774A4">
        <w:rPr>
          <w:rFonts w:ascii="Arial" w:hAnsi="Arial" w:cs="Arial"/>
          <w:sz w:val="24"/>
          <w:szCs w:val="24"/>
        </w:rPr>
        <w:t>Deal</w:t>
      </w:r>
      <w:proofErr w:type="spellEnd"/>
      <w:r w:rsidR="00A13643">
        <w:rPr>
          <w:rFonts w:ascii="Arial" w:hAnsi="Arial" w:cs="Arial"/>
          <w:sz w:val="24"/>
          <w:szCs w:val="24"/>
        </w:rPr>
        <w:t xml:space="preserve"> (COM2019 640 </w:t>
      </w:r>
      <w:proofErr w:type="spellStart"/>
      <w:r w:rsidR="00A13643">
        <w:rPr>
          <w:rFonts w:ascii="Arial" w:hAnsi="Arial" w:cs="Arial"/>
          <w:sz w:val="24"/>
          <w:szCs w:val="24"/>
        </w:rPr>
        <w:t>final</w:t>
      </w:r>
      <w:proofErr w:type="spellEnd"/>
      <w:r w:rsidR="00A13643">
        <w:rPr>
          <w:rFonts w:ascii="Arial" w:hAnsi="Arial" w:cs="Arial"/>
          <w:sz w:val="24"/>
          <w:szCs w:val="24"/>
        </w:rPr>
        <w:t>), i</w:t>
      </w:r>
      <w:r w:rsidR="003E74A3">
        <w:rPr>
          <w:rFonts w:ascii="Arial" w:hAnsi="Arial" w:cs="Arial"/>
          <w:sz w:val="24"/>
          <w:szCs w:val="24"/>
        </w:rPr>
        <w:t xml:space="preserve">l programma </w:t>
      </w:r>
      <w:r w:rsidR="009E43A9">
        <w:rPr>
          <w:rFonts w:ascii="Arial" w:hAnsi="Arial" w:cs="Arial"/>
          <w:sz w:val="24"/>
          <w:szCs w:val="24"/>
        </w:rPr>
        <w:t xml:space="preserve">che definisce il processo di transizione verso un’economia a zero </w:t>
      </w:r>
      <w:r w:rsidR="009E43A9">
        <w:rPr>
          <w:rFonts w:ascii="Arial" w:hAnsi="Arial" w:cs="Arial"/>
          <w:sz w:val="24"/>
          <w:szCs w:val="24"/>
        </w:rPr>
        <w:lastRenderedPageBreak/>
        <w:t xml:space="preserve">emissioni </w:t>
      </w:r>
      <w:r w:rsidR="000816A3">
        <w:rPr>
          <w:rFonts w:ascii="Arial" w:hAnsi="Arial" w:cs="Arial"/>
          <w:sz w:val="24"/>
          <w:szCs w:val="24"/>
        </w:rPr>
        <w:t>entro il 2050</w:t>
      </w:r>
      <w:r w:rsidR="00640066">
        <w:rPr>
          <w:rFonts w:ascii="Arial" w:hAnsi="Arial" w:cs="Arial"/>
          <w:sz w:val="24"/>
          <w:szCs w:val="24"/>
        </w:rPr>
        <w:t xml:space="preserve">, nel quale si fissa l’obbiettivo di ridurre le emissioni </w:t>
      </w:r>
      <w:r w:rsidR="001F7612">
        <w:rPr>
          <w:rFonts w:ascii="Arial" w:hAnsi="Arial" w:cs="Arial"/>
          <w:sz w:val="24"/>
          <w:szCs w:val="24"/>
        </w:rPr>
        <w:t>del 40% entro il 2030, limite portato poi al 55% nel gennaio 20</w:t>
      </w:r>
      <w:r w:rsidR="007014CE">
        <w:rPr>
          <w:rFonts w:ascii="Arial" w:hAnsi="Arial" w:cs="Arial"/>
          <w:sz w:val="24"/>
          <w:szCs w:val="24"/>
        </w:rPr>
        <w:t>2</w:t>
      </w:r>
      <w:r w:rsidR="001F7612">
        <w:rPr>
          <w:rFonts w:ascii="Arial" w:hAnsi="Arial" w:cs="Arial"/>
          <w:sz w:val="24"/>
          <w:szCs w:val="24"/>
        </w:rPr>
        <w:t xml:space="preserve">1. </w:t>
      </w:r>
    </w:p>
    <w:p w14:paraId="65140DA5" w14:textId="0C6F3603" w:rsidR="00057B0E" w:rsidRDefault="00140708" w:rsidP="000A2E77">
      <w:pPr>
        <w:pStyle w:val="Corpotesto"/>
        <w:ind w:right="45" w:firstLine="567"/>
        <w:jc w:val="both"/>
        <w:rPr>
          <w:rFonts w:ascii="Arial" w:hAnsi="Arial" w:cs="Arial"/>
          <w:sz w:val="24"/>
          <w:szCs w:val="24"/>
        </w:rPr>
      </w:pPr>
      <w:r>
        <w:rPr>
          <w:rFonts w:ascii="Arial" w:hAnsi="Arial" w:cs="Arial"/>
          <w:sz w:val="24"/>
          <w:szCs w:val="24"/>
        </w:rPr>
        <w:t xml:space="preserve">Non è </w:t>
      </w:r>
      <w:r w:rsidR="00D92142">
        <w:rPr>
          <w:rFonts w:ascii="Arial" w:hAnsi="Arial" w:cs="Arial"/>
          <w:sz w:val="24"/>
          <w:szCs w:val="24"/>
        </w:rPr>
        <w:t xml:space="preserve">opportuno approfondire in questa sede tutte le linee guida del Green </w:t>
      </w:r>
      <w:proofErr w:type="spellStart"/>
      <w:r w:rsidR="00D92142">
        <w:rPr>
          <w:rFonts w:ascii="Arial" w:hAnsi="Arial" w:cs="Arial"/>
          <w:sz w:val="24"/>
          <w:szCs w:val="24"/>
        </w:rPr>
        <w:t>Deal</w:t>
      </w:r>
      <w:proofErr w:type="spellEnd"/>
      <w:r w:rsidR="00BE06A0">
        <w:rPr>
          <w:rFonts w:ascii="Arial" w:hAnsi="Arial" w:cs="Arial"/>
          <w:sz w:val="24"/>
          <w:szCs w:val="24"/>
        </w:rPr>
        <w:t xml:space="preserve"> ma </w:t>
      </w:r>
      <w:r w:rsidR="00D9456E">
        <w:rPr>
          <w:rFonts w:ascii="Arial" w:hAnsi="Arial" w:cs="Arial"/>
          <w:sz w:val="24"/>
          <w:szCs w:val="24"/>
        </w:rPr>
        <w:t xml:space="preserve">citarlo è importante perché esso è di fatto un punto di arrivo e, contemporaneamente un punto di partenza </w:t>
      </w:r>
      <w:r w:rsidR="003B0CC8">
        <w:rPr>
          <w:rFonts w:ascii="Arial" w:hAnsi="Arial" w:cs="Arial"/>
          <w:sz w:val="24"/>
          <w:szCs w:val="24"/>
        </w:rPr>
        <w:t>determinato dall’accettazione da parte dell’Unione Europea de</w:t>
      </w:r>
      <w:r w:rsidR="00546C3A">
        <w:rPr>
          <w:rFonts w:ascii="Arial" w:hAnsi="Arial" w:cs="Arial"/>
          <w:sz w:val="24"/>
          <w:szCs w:val="24"/>
        </w:rPr>
        <w:t>gli Accordi di Parigi del 2015</w:t>
      </w:r>
      <w:r w:rsidR="00E4295B">
        <w:rPr>
          <w:rFonts w:ascii="Arial" w:hAnsi="Arial" w:cs="Arial"/>
          <w:sz w:val="24"/>
          <w:szCs w:val="24"/>
        </w:rPr>
        <w:t xml:space="preserve">, </w:t>
      </w:r>
      <w:r w:rsidR="00D80883">
        <w:rPr>
          <w:rFonts w:ascii="Arial" w:hAnsi="Arial" w:cs="Arial"/>
          <w:sz w:val="24"/>
          <w:szCs w:val="24"/>
        </w:rPr>
        <w:t>che sono stati accettati dalla UE mediante</w:t>
      </w:r>
      <w:r w:rsidR="000478B2">
        <w:rPr>
          <w:rFonts w:ascii="Arial" w:hAnsi="Arial" w:cs="Arial"/>
          <w:sz w:val="24"/>
          <w:szCs w:val="24"/>
        </w:rPr>
        <w:t xml:space="preserve"> la Decisione 2016/1841. </w:t>
      </w:r>
      <w:r w:rsidR="0032660D">
        <w:rPr>
          <w:rFonts w:ascii="Arial" w:hAnsi="Arial" w:cs="Arial"/>
          <w:sz w:val="24"/>
          <w:szCs w:val="24"/>
        </w:rPr>
        <w:t xml:space="preserve">A seguito di questa </w:t>
      </w:r>
      <w:r w:rsidR="004E384D">
        <w:rPr>
          <w:rFonts w:ascii="Arial" w:hAnsi="Arial" w:cs="Arial"/>
          <w:sz w:val="24"/>
          <w:szCs w:val="24"/>
        </w:rPr>
        <w:t>D</w:t>
      </w:r>
      <w:r w:rsidR="00AD756E">
        <w:rPr>
          <w:rFonts w:ascii="Arial" w:hAnsi="Arial" w:cs="Arial"/>
          <w:sz w:val="24"/>
          <w:szCs w:val="24"/>
        </w:rPr>
        <w:t xml:space="preserve">ecisione, sono stati emanati nel 2018 tre Regolamenti che hanno </w:t>
      </w:r>
      <w:r w:rsidR="000C573C">
        <w:rPr>
          <w:rFonts w:ascii="Arial" w:hAnsi="Arial" w:cs="Arial"/>
          <w:sz w:val="24"/>
          <w:szCs w:val="24"/>
        </w:rPr>
        <w:t xml:space="preserve">un grande ruolo per gli sviluppi del </w:t>
      </w:r>
      <w:proofErr w:type="spellStart"/>
      <w:r w:rsidR="000C573C">
        <w:rPr>
          <w:rFonts w:ascii="Arial" w:hAnsi="Arial" w:cs="Arial"/>
          <w:sz w:val="24"/>
          <w:szCs w:val="24"/>
        </w:rPr>
        <w:t>Gren</w:t>
      </w:r>
      <w:proofErr w:type="spellEnd"/>
      <w:r w:rsidR="000C573C">
        <w:rPr>
          <w:rFonts w:ascii="Arial" w:hAnsi="Arial" w:cs="Arial"/>
          <w:sz w:val="24"/>
          <w:szCs w:val="24"/>
        </w:rPr>
        <w:t xml:space="preserve"> </w:t>
      </w:r>
      <w:proofErr w:type="spellStart"/>
      <w:r w:rsidR="000C573C">
        <w:rPr>
          <w:rFonts w:ascii="Arial" w:hAnsi="Arial" w:cs="Arial"/>
          <w:sz w:val="24"/>
          <w:szCs w:val="24"/>
        </w:rPr>
        <w:t>Deal</w:t>
      </w:r>
      <w:proofErr w:type="spellEnd"/>
      <w:r w:rsidR="000C573C">
        <w:rPr>
          <w:rFonts w:ascii="Arial" w:hAnsi="Arial" w:cs="Arial"/>
          <w:sz w:val="24"/>
          <w:szCs w:val="24"/>
        </w:rPr>
        <w:t xml:space="preserve"> </w:t>
      </w:r>
      <w:r w:rsidR="00575118">
        <w:rPr>
          <w:rFonts w:ascii="Arial" w:hAnsi="Arial" w:cs="Arial"/>
          <w:sz w:val="24"/>
          <w:szCs w:val="24"/>
        </w:rPr>
        <w:t xml:space="preserve">e definiscono l’attuale caratterizzazione del settore LULUCF nella normativa Europea. </w:t>
      </w:r>
      <w:r w:rsidR="00FB1EC6">
        <w:rPr>
          <w:rFonts w:ascii="Arial" w:hAnsi="Arial" w:cs="Arial"/>
          <w:sz w:val="24"/>
          <w:szCs w:val="24"/>
        </w:rPr>
        <w:t>Questi regolamenti sono</w:t>
      </w:r>
      <w:r w:rsidR="006868E4">
        <w:rPr>
          <w:rFonts w:ascii="Arial" w:hAnsi="Arial" w:cs="Arial"/>
          <w:sz w:val="24"/>
          <w:szCs w:val="24"/>
        </w:rPr>
        <w:t>:</w:t>
      </w:r>
    </w:p>
    <w:p w14:paraId="6D5E53C2" w14:textId="77777777" w:rsidR="00057B0E" w:rsidRDefault="00057B0E" w:rsidP="000A2E77">
      <w:pPr>
        <w:pStyle w:val="Corpotesto"/>
        <w:ind w:right="45" w:firstLine="567"/>
        <w:jc w:val="both"/>
        <w:rPr>
          <w:rFonts w:ascii="Arial" w:hAnsi="Arial" w:cs="Arial"/>
          <w:sz w:val="24"/>
          <w:szCs w:val="24"/>
        </w:rPr>
      </w:pPr>
    </w:p>
    <w:p w14:paraId="0E2BA8F7" w14:textId="45EF3D97" w:rsidR="00FB1EC6" w:rsidRPr="00DA0ABA" w:rsidRDefault="00FB1EC6" w:rsidP="000D531D">
      <w:pPr>
        <w:pStyle w:val="Corpotesto"/>
        <w:numPr>
          <w:ilvl w:val="0"/>
          <w:numId w:val="6"/>
        </w:numPr>
        <w:ind w:right="45"/>
        <w:jc w:val="both"/>
        <w:rPr>
          <w:rFonts w:ascii="Arial" w:eastAsia="Times New Roman" w:hAnsi="Arial" w:cs="Arial"/>
          <w:color w:val="333333"/>
          <w:sz w:val="24"/>
          <w:szCs w:val="24"/>
          <w:lang w:eastAsia="it-IT"/>
        </w:rPr>
      </w:pPr>
      <w:r w:rsidRPr="00DA0ABA">
        <w:rPr>
          <w:rFonts w:ascii="Arial" w:eastAsia="Times New Roman" w:hAnsi="Arial" w:cs="Arial"/>
          <w:color w:val="333333"/>
          <w:sz w:val="24"/>
          <w:szCs w:val="24"/>
          <w:lang w:eastAsia="it-IT"/>
        </w:rPr>
        <w:t xml:space="preserve">Il Regolamento 842/2018 che allinea le attività agli accordi di Parigi del 2015 (ETS e </w:t>
      </w:r>
      <w:r w:rsidR="00D11D72">
        <w:rPr>
          <w:rFonts w:ascii="Arial" w:eastAsia="Times New Roman" w:hAnsi="Arial" w:cs="Arial"/>
          <w:color w:val="333333"/>
          <w:sz w:val="24"/>
          <w:szCs w:val="24"/>
          <w:lang w:eastAsia="it-IT"/>
        </w:rPr>
        <w:t>ESR</w:t>
      </w:r>
      <w:r w:rsidR="00C03358">
        <w:rPr>
          <w:rStyle w:val="Rimandonotaapidipagina"/>
          <w:rFonts w:ascii="Arial" w:eastAsia="Times New Roman" w:hAnsi="Arial" w:cs="Arial"/>
          <w:color w:val="333333"/>
          <w:sz w:val="24"/>
          <w:szCs w:val="24"/>
          <w:lang w:eastAsia="it-IT"/>
        </w:rPr>
        <w:footnoteReference w:id="28"/>
      </w:r>
      <w:r w:rsidRPr="00DA0ABA">
        <w:rPr>
          <w:rFonts w:ascii="Arial" w:eastAsia="Times New Roman" w:hAnsi="Arial" w:cs="Arial"/>
          <w:color w:val="333333"/>
          <w:sz w:val="24"/>
          <w:szCs w:val="24"/>
          <w:lang w:eastAsia="it-IT"/>
        </w:rPr>
        <w:t>) e identifica le attività LULUCF come elemento portante della strategia climatica dell’Unione Europea</w:t>
      </w:r>
      <w:r w:rsidR="00C349FC">
        <w:rPr>
          <w:rStyle w:val="Rimandonotaapidipagina"/>
          <w:rFonts w:ascii="Arial" w:eastAsia="Times New Roman" w:hAnsi="Arial" w:cs="Arial"/>
          <w:color w:val="333333"/>
          <w:sz w:val="24"/>
          <w:szCs w:val="24"/>
          <w:lang w:eastAsia="it-IT"/>
        </w:rPr>
        <w:footnoteReference w:id="29"/>
      </w:r>
      <w:r w:rsidRPr="00DA0ABA">
        <w:rPr>
          <w:rFonts w:ascii="Arial" w:eastAsia="Times New Roman" w:hAnsi="Arial" w:cs="Arial"/>
          <w:color w:val="333333"/>
          <w:sz w:val="24"/>
          <w:szCs w:val="24"/>
          <w:lang w:eastAsia="it-IT"/>
        </w:rPr>
        <w:t>;</w:t>
      </w:r>
    </w:p>
    <w:p w14:paraId="3BFDB850" w14:textId="1A28B722" w:rsidR="00FB1EC6" w:rsidRPr="00DA0ABA" w:rsidRDefault="00FB1EC6" w:rsidP="000D531D">
      <w:pPr>
        <w:pStyle w:val="Corpotesto"/>
        <w:numPr>
          <w:ilvl w:val="0"/>
          <w:numId w:val="6"/>
        </w:numPr>
        <w:ind w:right="45"/>
        <w:jc w:val="both"/>
        <w:rPr>
          <w:rFonts w:ascii="Arial" w:eastAsia="Times New Roman" w:hAnsi="Arial" w:cs="Arial"/>
          <w:color w:val="333333"/>
          <w:sz w:val="24"/>
          <w:szCs w:val="24"/>
          <w:lang w:eastAsia="it-IT"/>
        </w:rPr>
      </w:pPr>
      <w:r w:rsidRPr="00DA0ABA">
        <w:rPr>
          <w:rFonts w:ascii="Arial" w:eastAsia="Times New Roman" w:hAnsi="Arial" w:cs="Arial"/>
          <w:color w:val="333333"/>
          <w:sz w:val="24"/>
          <w:szCs w:val="24"/>
          <w:lang w:eastAsia="it-IT"/>
        </w:rPr>
        <w:t xml:space="preserve">Il Regolamento 841/2018 che definisce le attività LULUCF nel quadro delle azioni per il clima e istituisce </w:t>
      </w:r>
      <w:r w:rsidR="00E16CD5">
        <w:rPr>
          <w:rFonts w:ascii="Arial" w:eastAsia="Times New Roman" w:hAnsi="Arial" w:cs="Arial"/>
          <w:color w:val="333333"/>
          <w:sz w:val="24"/>
          <w:szCs w:val="24"/>
          <w:lang w:eastAsia="it-IT"/>
        </w:rPr>
        <w:t>precise regole di contabilizzazione e</w:t>
      </w:r>
      <w:r w:rsidRPr="00DA0ABA">
        <w:rPr>
          <w:rFonts w:ascii="Arial" w:eastAsia="Times New Roman" w:hAnsi="Arial" w:cs="Arial"/>
          <w:color w:val="333333"/>
          <w:sz w:val="24"/>
          <w:szCs w:val="24"/>
          <w:lang w:eastAsia="it-IT"/>
        </w:rPr>
        <w:t xml:space="preserve"> di monitoraggio</w:t>
      </w:r>
      <w:r w:rsidR="00E16CD5">
        <w:rPr>
          <w:rFonts w:ascii="Arial" w:eastAsia="Times New Roman" w:hAnsi="Arial" w:cs="Arial"/>
          <w:color w:val="333333"/>
          <w:sz w:val="24"/>
          <w:szCs w:val="24"/>
          <w:lang w:eastAsia="it-IT"/>
        </w:rPr>
        <w:t xml:space="preserve"> </w:t>
      </w:r>
      <w:r w:rsidR="00D05836">
        <w:rPr>
          <w:rFonts w:ascii="Arial" w:eastAsia="Times New Roman" w:hAnsi="Arial" w:cs="Arial"/>
          <w:color w:val="333333"/>
          <w:sz w:val="24"/>
          <w:szCs w:val="24"/>
          <w:lang w:eastAsia="it-IT"/>
        </w:rPr>
        <w:t>per</w:t>
      </w:r>
      <w:r w:rsidR="00E16CD5">
        <w:rPr>
          <w:rFonts w:ascii="Arial" w:eastAsia="Times New Roman" w:hAnsi="Arial" w:cs="Arial"/>
          <w:color w:val="333333"/>
          <w:sz w:val="24"/>
          <w:szCs w:val="24"/>
          <w:lang w:eastAsia="it-IT"/>
        </w:rPr>
        <w:t xml:space="preserve"> questo settore</w:t>
      </w:r>
      <w:r w:rsidR="007A7303">
        <w:rPr>
          <w:rStyle w:val="Rimandonotaapidipagina"/>
          <w:rFonts w:ascii="Arial" w:eastAsia="Times New Roman" w:hAnsi="Arial" w:cs="Arial"/>
          <w:color w:val="333333"/>
          <w:sz w:val="24"/>
          <w:szCs w:val="24"/>
          <w:lang w:eastAsia="it-IT"/>
        </w:rPr>
        <w:footnoteReference w:id="30"/>
      </w:r>
      <w:r w:rsidRPr="00DA0ABA">
        <w:rPr>
          <w:rFonts w:ascii="Arial" w:eastAsia="Times New Roman" w:hAnsi="Arial" w:cs="Arial"/>
          <w:color w:val="333333"/>
          <w:sz w:val="24"/>
          <w:szCs w:val="24"/>
          <w:lang w:eastAsia="it-IT"/>
        </w:rPr>
        <w:t xml:space="preserve">. </w:t>
      </w:r>
    </w:p>
    <w:p w14:paraId="0FFA18CB" w14:textId="77777777" w:rsidR="000A2E77" w:rsidRPr="00DA0ABA" w:rsidRDefault="000A2E77" w:rsidP="000D531D">
      <w:pPr>
        <w:pStyle w:val="Corpotesto"/>
        <w:numPr>
          <w:ilvl w:val="0"/>
          <w:numId w:val="6"/>
        </w:numPr>
        <w:ind w:right="45"/>
        <w:jc w:val="both"/>
        <w:rPr>
          <w:rFonts w:ascii="Arial" w:eastAsia="Times New Roman" w:hAnsi="Arial" w:cs="Arial"/>
          <w:color w:val="333333"/>
          <w:sz w:val="24"/>
          <w:szCs w:val="24"/>
          <w:lang w:eastAsia="it-IT"/>
        </w:rPr>
      </w:pPr>
      <w:r w:rsidRPr="00DA0ABA">
        <w:rPr>
          <w:rFonts w:ascii="Arial" w:eastAsia="Times New Roman" w:hAnsi="Arial" w:cs="Arial"/>
          <w:color w:val="333333"/>
          <w:sz w:val="24"/>
          <w:szCs w:val="24"/>
          <w:lang w:eastAsia="it-IT"/>
        </w:rPr>
        <w:t>Il Regolamento UE 1999/2018 relativo alla governance dell'Unione dell'energia e dell'azione per il clima, che prevede istituti e procedure per conseguire gli obiettivi e traguardi dell'Unione dell'energia, e in particolare quelli fissati per il 2030 in materia di energia e di clima;</w:t>
      </w:r>
    </w:p>
    <w:p w14:paraId="13DD7E51" w14:textId="77777777" w:rsidR="000A2E77" w:rsidRDefault="000A2E77" w:rsidP="000A2E77">
      <w:pPr>
        <w:pStyle w:val="Corpotesto"/>
        <w:ind w:right="45"/>
        <w:jc w:val="both"/>
        <w:rPr>
          <w:rFonts w:ascii="Helvetica" w:eastAsia="Times New Roman" w:hAnsi="Helvetica" w:cs="Helvetica"/>
          <w:color w:val="333333"/>
          <w:sz w:val="21"/>
          <w:szCs w:val="21"/>
          <w:lang w:eastAsia="it-IT"/>
        </w:rPr>
      </w:pPr>
    </w:p>
    <w:p w14:paraId="3343AB37" w14:textId="5E95D9CA" w:rsidR="000A2E77" w:rsidRPr="00E251C5" w:rsidRDefault="000A2E77" w:rsidP="000A2E77">
      <w:pPr>
        <w:pStyle w:val="Corpotesto"/>
        <w:ind w:right="45" w:firstLine="567"/>
        <w:jc w:val="both"/>
        <w:rPr>
          <w:rFonts w:ascii="Arial" w:hAnsi="Arial" w:cs="Arial"/>
          <w:sz w:val="24"/>
          <w:szCs w:val="24"/>
        </w:rPr>
      </w:pPr>
      <w:r w:rsidRPr="00E251C5">
        <w:rPr>
          <w:rFonts w:ascii="Arial" w:hAnsi="Arial" w:cs="Arial"/>
          <w:sz w:val="24"/>
          <w:szCs w:val="24"/>
        </w:rPr>
        <w:t xml:space="preserve">Nell’esposizione di ognuna di queste norme verranno evidenziate soprattutto gli aspetti che riguardano in misura diretta o indiretta la gestione dei servizi ecosistemici e le attività LULUCF, in modo da fornire un quadro di riferimento coordinato alle attività che si vuole sviluppare nel progetto, in particolare quelle inerenti </w:t>
      </w:r>
      <w:r w:rsidR="00AA4A96" w:rsidRPr="00E251C5">
        <w:rPr>
          <w:rFonts w:ascii="Arial" w:hAnsi="Arial" w:cs="Arial"/>
          <w:sz w:val="24"/>
          <w:szCs w:val="24"/>
        </w:rPr>
        <w:t>al</w:t>
      </w:r>
      <w:r w:rsidRPr="00E251C5">
        <w:rPr>
          <w:rFonts w:ascii="Arial" w:hAnsi="Arial" w:cs="Arial"/>
          <w:sz w:val="24"/>
          <w:szCs w:val="24"/>
        </w:rPr>
        <w:t xml:space="preserve">la regolazione del clima e la gestione dei crediti ecosistemici. </w:t>
      </w:r>
    </w:p>
    <w:p w14:paraId="460C22E3" w14:textId="0EB72EE1" w:rsidR="000A2E77" w:rsidRDefault="000A2E77" w:rsidP="000A2E77">
      <w:pPr>
        <w:pStyle w:val="Corpotesto"/>
        <w:ind w:right="45" w:firstLine="567"/>
        <w:jc w:val="both"/>
        <w:rPr>
          <w:rFonts w:ascii="Arial" w:hAnsi="Arial" w:cs="Arial"/>
          <w:sz w:val="24"/>
          <w:szCs w:val="24"/>
        </w:rPr>
      </w:pPr>
      <w:r w:rsidRPr="00E251C5">
        <w:rPr>
          <w:rFonts w:ascii="Arial" w:hAnsi="Arial" w:cs="Arial"/>
          <w:sz w:val="24"/>
          <w:szCs w:val="24"/>
        </w:rPr>
        <w:t>Nella descrizione di queste norme, si farà riferimento anche ad eventuali norme collega</w:t>
      </w:r>
      <w:r w:rsidR="00D05836">
        <w:rPr>
          <w:rFonts w:ascii="Arial" w:hAnsi="Arial" w:cs="Arial"/>
          <w:sz w:val="24"/>
          <w:szCs w:val="24"/>
        </w:rPr>
        <w:t>t</w:t>
      </w:r>
      <w:r w:rsidRPr="00E251C5">
        <w:rPr>
          <w:rFonts w:ascii="Arial" w:hAnsi="Arial" w:cs="Arial"/>
          <w:sz w:val="24"/>
          <w:szCs w:val="24"/>
        </w:rPr>
        <w:t>e rilevanti nonché alle leggi nazionali che le hanno accolte</w:t>
      </w:r>
      <w:r w:rsidR="003F0EB2" w:rsidRPr="00E251C5">
        <w:rPr>
          <w:rStyle w:val="Rimandonotaapidipagina"/>
          <w:rFonts w:ascii="Arial" w:hAnsi="Arial" w:cs="Arial"/>
          <w:sz w:val="24"/>
          <w:szCs w:val="24"/>
        </w:rPr>
        <w:footnoteReference w:id="31"/>
      </w:r>
      <w:r w:rsidRPr="00E251C5">
        <w:rPr>
          <w:rFonts w:ascii="Arial" w:hAnsi="Arial" w:cs="Arial"/>
          <w:sz w:val="24"/>
          <w:szCs w:val="24"/>
        </w:rPr>
        <w:t>.</w:t>
      </w:r>
      <w:r>
        <w:rPr>
          <w:rFonts w:ascii="Arial" w:hAnsi="Arial" w:cs="Arial"/>
          <w:sz w:val="24"/>
          <w:szCs w:val="24"/>
        </w:rPr>
        <w:t xml:space="preserve"> </w:t>
      </w:r>
    </w:p>
    <w:p w14:paraId="57FCB532" w14:textId="77777777" w:rsidR="003F0EB2" w:rsidRDefault="003F0EB2" w:rsidP="000A2E77">
      <w:pPr>
        <w:pStyle w:val="Corpotesto"/>
        <w:ind w:right="45" w:firstLine="567"/>
        <w:jc w:val="both"/>
        <w:rPr>
          <w:rFonts w:ascii="Arial" w:hAnsi="Arial" w:cs="Arial"/>
          <w:sz w:val="24"/>
          <w:szCs w:val="24"/>
        </w:rPr>
      </w:pPr>
    </w:p>
    <w:p w14:paraId="5AA34A5C" w14:textId="77777777" w:rsidR="000A2E77" w:rsidRDefault="000A2E77" w:rsidP="000A2E77">
      <w:pPr>
        <w:pStyle w:val="Corpotesto"/>
        <w:ind w:right="45" w:firstLine="567"/>
        <w:jc w:val="both"/>
        <w:rPr>
          <w:rFonts w:ascii="Arial" w:hAnsi="Arial" w:cs="Arial"/>
          <w:sz w:val="24"/>
          <w:szCs w:val="24"/>
        </w:rPr>
      </w:pPr>
    </w:p>
    <w:p w14:paraId="1FC8F940" w14:textId="50D96964" w:rsidR="000A2E77" w:rsidRDefault="000A2E77" w:rsidP="000A2E77">
      <w:pPr>
        <w:pStyle w:val="Titolo2"/>
        <w:rPr>
          <w:rFonts w:ascii="Arial" w:hAnsi="Arial" w:cs="Arial"/>
          <w:sz w:val="24"/>
          <w:szCs w:val="24"/>
        </w:rPr>
      </w:pPr>
      <w:bookmarkStart w:id="6" w:name="_Toc74265395"/>
      <w:r>
        <w:t>Il Regolamento 842/2013 e gli Accordi di Parigi</w:t>
      </w:r>
      <w:bookmarkEnd w:id="6"/>
    </w:p>
    <w:p w14:paraId="7C0EC232" w14:textId="77777777" w:rsidR="000A2E77" w:rsidRDefault="000A2E77" w:rsidP="000A2E77">
      <w:pPr>
        <w:pStyle w:val="Corpotesto"/>
        <w:ind w:right="45"/>
        <w:jc w:val="both"/>
        <w:rPr>
          <w:rFonts w:ascii="Arial" w:hAnsi="Arial" w:cs="Arial"/>
          <w:sz w:val="24"/>
          <w:szCs w:val="24"/>
        </w:rPr>
      </w:pPr>
    </w:p>
    <w:p w14:paraId="5D3CEFF9" w14:textId="0E4CA4EA" w:rsidR="000A2E77" w:rsidRDefault="000A2E77" w:rsidP="000A2E77">
      <w:pPr>
        <w:pStyle w:val="Corpotesto"/>
        <w:ind w:right="45" w:firstLine="567"/>
        <w:jc w:val="both"/>
        <w:rPr>
          <w:rFonts w:ascii="Arial" w:hAnsi="Arial" w:cs="Arial"/>
          <w:sz w:val="24"/>
          <w:szCs w:val="24"/>
        </w:rPr>
      </w:pPr>
      <w:r>
        <w:rPr>
          <w:rFonts w:ascii="Arial" w:hAnsi="Arial" w:cs="Arial"/>
          <w:sz w:val="24"/>
          <w:szCs w:val="24"/>
        </w:rPr>
        <w:t xml:space="preserve">Gli accordi di Parigi del 2015 sono stati sottoscritti dall’Unione Europea con la Decisione UE 2016/1841 e hanno sancito una nuova accelerazione alla Strategia Europea sul Clima. Soprattutto, hanno </w:t>
      </w:r>
      <w:r w:rsidR="00BE73CB">
        <w:rPr>
          <w:rFonts w:ascii="Arial" w:hAnsi="Arial" w:cs="Arial"/>
          <w:sz w:val="24"/>
          <w:szCs w:val="24"/>
        </w:rPr>
        <w:t xml:space="preserve">ulteriormente </w:t>
      </w:r>
      <w:r>
        <w:rPr>
          <w:rFonts w:ascii="Arial" w:hAnsi="Arial" w:cs="Arial"/>
          <w:sz w:val="24"/>
          <w:szCs w:val="24"/>
        </w:rPr>
        <w:t xml:space="preserve">sviluppato </w:t>
      </w:r>
      <w:r w:rsidR="00D1515D">
        <w:rPr>
          <w:rFonts w:ascii="Arial" w:hAnsi="Arial" w:cs="Arial"/>
          <w:sz w:val="24"/>
          <w:szCs w:val="24"/>
        </w:rPr>
        <w:t>l’</w:t>
      </w:r>
      <w:r>
        <w:rPr>
          <w:rFonts w:ascii="Arial" w:hAnsi="Arial" w:cs="Arial"/>
          <w:sz w:val="24"/>
          <w:szCs w:val="24"/>
        </w:rPr>
        <w:t>approccio coordinato tra le linee di azione sul clima già in essere e le attività LULUCF</w:t>
      </w:r>
      <w:r w:rsidR="00D1515D">
        <w:rPr>
          <w:rFonts w:ascii="Arial" w:hAnsi="Arial" w:cs="Arial"/>
          <w:sz w:val="24"/>
          <w:szCs w:val="24"/>
        </w:rPr>
        <w:t xml:space="preserve"> che era già stato implementato nel 2013 con </w:t>
      </w:r>
      <w:r w:rsidR="0084267C">
        <w:rPr>
          <w:rFonts w:ascii="Arial" w:hAnsi="Arial" w:cs="Arial"/>
          <w:sz w:val="24"/>
          <w:szCs w:val="24"/>
        </w:rPr>
        <w:t>il</w:t>
      </w:r>
      <w:r w:rsidR="00D1515D">
        <w:rPr>
          <w:rFonts w:ascii="Arial" w:hAnsi="Arial" w:cs="Arial"/>
          <w:sz w:val="24"/>
          <w:szCs w:val="24"/>
        </w:rPr>
        <w:t xml:space="preserve"> Regolament</w:t>
      </w:r>
      <w:r w:rsidR="0084267C">
        <w:rPr>
          <w:rFonts w:ascii="Arial" w:hAnsi="Arial" w:cs="Arial"/>
          <w:sz w:val="24"/>
          <w:szCs w:val="24"/>
        </w:rPr>
        <w:t>o</w:t>
      </w:r>
      <w:r w:rsidR="00D1515D">
        <w:rPr>
          <w:rFonts w:ascii="Arial" w:hAnsi="Arial" w:cs="Arial"/>
          <w:sz w:val="24"/>
          <w:szCs w:val="24"/>
        </w:rPr>
        <w:t xml:space="preserve"> </w:t>
      </w:r>
      <w:r w:rsidR="001C1C79">
        <w:rPr>
          <w:rFonts w:ascii="Arial" w:hAnsi="Arial" w:cs="Arial"/>
          <w:sz w:val="24"/>
          <w:szCs w:val="24"/>
        </w:rPr>
        <w:t>525/2013 e</w:t>
      </w:r>
      <w:r w:rsidR="0084267C">
        <w:rPr>
          <w:rFonts w:ascii="Arial" w:hAnsi="Arial" w:cs="Arial"/>
          <w:sz w:val="24"/>
          <w:szCs w:val="24"/>
        </w:rPr>
        <w:t xml:space="preserve"> la Decisione</w:t>
      </w:r>
      <w:r w:rsidR="001C1C79">
        <w:rPr>
          <w:rFonts w:ascii="Arial" w:hAnsi="Arial" w:cs="Arial"/>
          <w:sz w:val="24"/>
          <w:szCs w:val="24"/>
        </w:rPr>
        <w:t xml:space="preserve"> 529/2013</w:t>
      </w:r>
      <w:r w:rsidR="009476FF">
        <w:rPr>
          <w:rStyle w:val="Rimandonotaapidipagina"/>
          <w:rFonts w:ascii="Arial" w:hAnsi="Arial" w:cs="Arial"/>
          <w:sz w:val="24"/>
          <w:szCs w:val="24"/>
        </w:rPr>
        <w:footnoteReference w:id="32"/>
      </w:r>
      <w:r>
        <w:rPr>
          <w:rFonts w:ascii="Arial" w:hAnsi="Arial" w:cs="Arial"/>
          <w:sz w:val="24"/>
          <w:szCs w:val="24"/>
        </w:rPr>
        <w:t xml:space="preserve">. </w:t>
      </w:r>
      <w:r w:rsidR="007A15A1">
        <w:rPr>
          <w:rFonts w:ascii="Arial" w:hAnsi="Arial" w:cs="Arial"/>
          <w:sz w:val="24"/>
          <w:szCs w:val="24"/>
        </w:rPr>
        <w:t xml:space="preserve">A </w:t>
      </w:r>
      <w:r w:rsidR="007A15A1">
        <w:rPr>
          <w:rFonts w:ascii="Arial" w:hAnsi="Arial" w:cs="Arial"/>
          <w:sz w:val="24"/>
          <w:szCs w:val="24"/>
        </w:rPr>
        <w:lastRenderedPageBreak/>
        <w:t>differenza delle due norme precedenti</w:t>
      </w:r>
      <w:r w:rsidR="0002654A">
        <w:rPr>
          <w:rFonts w:ascii="Arial" w:hAnsi="Arial" w:cs="Arial"/>
          <w:sz w:val="24"/>
          <w:szCs w:val="24"/>
        </w:rPr>
        <w:t xml:space="preserve">, in questa occasione la normativa LULUCF espressa dalla Decisione </w:t>
      </w:r>
      <w:r w:rsidR="005160D7">
        <w:rPr>
          <w:rFonts w:ascii="Arial" w:hAnsi="Arial" w:cs="Arial"/>
          <w:sz w:val="24"/>
          <w:szCs w:val="24"/>
        </w:rPr>
        <w:t>529/2013 viene convertita in un Regolamento e</w:t>
      </w:r>
      <w:r>
        <w:rPr>
          <w:rFonts w:ascii="Arial" w:hAnsi="Arial" w:cs="Arial"/>
          <w:sz w:val="24"/>
          <w:szCs w:val="24"/>
        </w:rPr>
        <w:t xml:space="preserve"> due Regolamenti UE 841 e 842 del 2018 escono lo stesso giorno</w:t>
      </w:r>
      <w:r>
        <w:rPr>
          <w:rStyle w:val="Rimandonotaapidipagina"/>
          <w:rFonts w:ascii="Arial" w:hAnsi="Arial" w:cs="Arial"/>
          <w:sz w:val="24"/>
          <w:szCs w:val="24"/>
        </w:rPr>
        <w:footnoteReference w:id="33"/>
      </w:r>
      <w:r w:rsidR="00522A52">
        <w:rPr>
          <w:rFonts w:ascii="Arial" w:hAnsi="Arial" w:cs="Arial"/>
          <w:sz w:val="24"/>
          <w:szCs w:val="24"/>
        </w:rPr>
        <w:t xml:space="preserve">. </w:t>
      </w:r>
      <w:r>
        <w:rPr>
          <w:rFonts w:ascii="Arial" w:hAnsi="Arial" w:cs="Arial"/>
          <w:sz w:val="24"/>
          <w:szCs w:val="24"/>
        </w:rPr>
        <w:t xml:space="preserve"> </w:t>
      </w:r>
      <w:r w:rsidR="00522A52">
        <w:rPr>
          <w:rFonts w:ascii="Arial" w:hAnsi="Arial" w:cs="Arial"/>
          <w:sz w:val="24"/>
          <w:szCs w:val="24"/>
        </w:rPr>
        <w:t xml:space="preserve">Essi </w:t>
      </w:r>
      <w:r>
        <w:rPr>
          <w:rFonts w:ascii="Arial" w:hAnsi="Arial" w:cs="Arial"/>
          <w:sz w:val="24"/>
          <w:szCs w:val="24"/>
        </w:rPr>
        <w:t xml:space="preserve">hanno un approccio integrato dove l’842 sviluppa le azioni per il clima volte ad onorare gli impegni assunti con l’Accordo di Parigi, mentre l’841 integra le attività LULUCF come uno degli assi portanti della strategia sul clima, con tutto quanto ne consegue in termini di governance. </w:t>
      </w:r>
    </w:p>
    <w:p w14:paraId="05CF0E62" w14:textId="77777777" w:rsidR="000A2E77" w:rsidRDefault="000A2E77" w:rsidP="000A2E77">
      <w:pPr>
        <w:pStyle w:val="Corpotesto"/>
        <w:ind w:right="45" w:firstLine="567"/>
        <w:jc w:val="both"/>
        <w:rPr>
          <w:rFonts w:ascii="Arial" w:hAnsi="Arial" w:cs="Arial"/>
          <w:sz w:val="24"/>
          <w:szCs w:val="24"/>
        </w:rPr>
      </w:pPr>
      <w:r>
        <w:rPr>
          <w:rFonts w:ascii="Arial" w:hAnsi="Arial" w:cs="Arial"/>
          <w:sz w:val="24"/>
          <w:szCs w:val="24"/>
        </w:rPr>
        <w:t xml:space="preserve">I temi più significativi del Regolamento 842/2018 sono riportati nella seguente tabella. </w:t>
      </w:r>
    </w:p>
    <w:p w14:paraId="736780CB" w14:textId="77777777" w:rsidR="000A2E77" w:rsidRDefault="000A2E77" w:rsidP="000A2E77">
      <w:pPr>
        <w:pStyle w:val="Corpotesto"/>
        <w:ind w:right="45"/>
        <w:jc w:val="both"/>
        <w:rPr>
          <w:rFonts w:ascii="Arial" w:hAnsi="Arial" w:cs="Arial"/>
          <w:sz w:val="24"/>
          <w:szCs w:val="24"/>
        </w:rPr>
      </w:pPr>
    </w:p>
    <w:p w14:paraId="64C4D89D" w14:textId="38096944" w:rsidR="000A2E77" w:rsidRPr="00F9000A" w:rsidRDefault="000A2E77" w:rsidP="000A2E77">
      <w:pPr>
        <w:pStyle w:val="Corpotesto"/>
        <w:ind w:right="45"/>
        <w:jc w:val="both"/>
        <w:rPr>
          <w:rFonts w:ascii="Arial" w:hAnsi="Arial" w:cs="Arial"/>
          <w:b/>
          <w:bCs/>
          <w:sz w:val="24"/>
          <w:szCs w:val="24"/>
        </w:rPr>
      </w:pPr>
      <w:r w:rsidRPr="00F9000A">
        <w:rPr>
          <w:rFonts w:ascii="Arial" w:hAnsi="Arial" w:cs="Arial"/>
          <w:b/>
          <w:bCs/>
          <w:sz w:val="24"/>
          <w:szCs w:val="24"/>
        </w:rPr>
        <w:t xml:space="preserve">Tabella </w:t>
      </w:r>
      <w:r w:rsidR="00D11BDC">
        <w:rPr>
          <w:rFonts w:ascii="Arial" w:hAnsi="Arial" w:cs="Arial"/>
          <w:b/>
          <w:bCs/>
          <w:sz w:val="24"/>
          <w:szCs w:val="24"/>
        </w:rPr>
        <w:t>2</w:t>
      </w:r>
      <w:r w:rsidRPr="00F9000A">
        <w:rPr>
          <w:rFonts w:ascii="Arial" w:hAnsi="Arial" w:cs="Arial"/>
          <w:b/>
          <w:bCs/>
          <w:sz w:val="24"/>
          <w:szCs w:val="24"/>
        </w:rPr>
        <w:t xml:space="preserve"> - Sintesi degli elementi rilevanti nel Regolamento 842/2018</w:t>
      </w:r>
    </w:p>
    <w:tbl>
      <w:tblPr>
        <w:tblStyle w:val="Grigliatabella"/>
        <w:tblW w:w="0" w:type="auto"/>
        <w:tblLook w:val="04A0" w:firstRow="1" w:lastRow="0" w:firstColumn="1" w:lastColumn="0" w:noHBand="0" w:noVBand="1"/>
      </w:tblPr>
      <w:tblGrid>
        <w:gridCol w:w="1668"/>
        <w:gridCol w:w="4252"/>
        <w:gridCol w:w="3852"/>
      </w:tblGrid>
      <w:tr w:rsidR="000A2E77" w:rsidRPr="0008297C" w14:paraId="1F0244ED" w14:textId="77777777" w:rsidTr="0031595F">
        <w:tc>
          <w:tcPr>
            <w:tcW w:w="1668" w:type="dxa"/>
          </w:tcPr>
          <w:p w14:paraId="6EB6FC63" w14:textId="77777777" w:rsidR="000A2E77" w:rsidRPr="0008297C" w:rsidRDefault="000A2E77" w:rsidP="0031595F">
            <w:pPr>
              <w:pStyle w:val="Corpotesto"/>
              <w:ind w:right="45"/>
              <w:jc w:val="center"/>
              <w:rPr>
                <w:rFonts w:ascii="Arial" w:hAnsi="Arial" w:cs="Arial"/>
                <w:b/>
                <w:bCs/>
                <w:sz w:val="24"/>
                <w:szCs w:val="24"/>
              </w:rPr>
            </w:pPr>
            <w:r w:rsidRPr="0008297C">
              <w:rPr>
                <w:rFonts w:ascii="Arial" w:hAnsi="Arial" w:cs="Arial"/>
                <w:b/>
                <w:bCs/>
                <w:sz w:val="24"/>
                <w:szCs w:val="24"/>
              </w:rPr>
              <w:t>Articolo</w:t>
            </w:r>
          </w:p>
        </w:tc>
        <w:tc>
          <w:tcPr>
            <w:tcW w:w="8104" w:type="dxa"/>
            <w:gridSpan w:val="2"/>
          </w:tcPr>
          <w:p w14:paraId="7CFD5DBE" w14:textId="77777777" w:rsidR="000A2E77" w:rsidRPr="0008297C" w:rsidRDefault="000A2E77" w:rsidP="0031595F">
            <w:pPr>
              <w:pStyle w:val="Corpotesto"/>
              <w:ind w:right="45"/>
              <w:jc w:val="center"/>
              <w:rPr>
                <w:rFonts w:ascii="Arial" w:hAnsi="Arial" w:cs="Arial"/>
                <w:b/>
                <w:bCs/>
                <w:sz w:val="24"/>
                <w:szCs w:val="24"/>
              </w:rPr>
            </w:pPr>
            <w:r>
              <w:rPr>
                <w:rFonts w:ascii="Arial" w:hAnsi="Arial" w:cs="Arial"/>
                <w:b/>
                <w:bCs/>
                <w:sz w:val="24"/>
                <w:szCs w:val="24"/>
              </w:rPr>
              <w:t>Elementi rilevanti enunciati nelle premesse</w:t>
            </w:r>
          </w:p>
        </w:tc>
      </w:tr>
      <w:tr w:rsidR="000A2E77" w14:paraId="67C587EC" w14:textId="77777777" w:rsidTr="0031595F">
        <w:tc>
          <w:tcPr>
            <w:tcW w:w="1668" w:type="dxa"/>
          </w:tcPr>
          <w:p w14:paraId="351AF82A" w14:textId="77777777" w:rsidR="000A2E77" w:rsidRPr="00575F69" w:rsidRDefault="000A2E77" w:rsidP="0031595F">
            <w:pPr>
              <w:pStyle w:val="Corpotesto"/>
              <w:ind w:right="45"/>
              <w:jc w:val="both"/>
              <w:rPr>
                <w:rFonts w:ascii="Arial" w:hAnsi="Arial" w:cs="Arial"/>
                <w:sz w:val="20"/>
                <w:szCs w:val="20"/>
              </w:rPr>
            </w:pPr>
            <w:r>
              <w:rPr>
                <w:rFonts w:ascii="Arial" w:hAnsi="Arial" w:cs="Arial"/>
                <w:sz w:val="20"/>
                <w:szCs w:val="20"/>
              </w:rPr>
              <w:t>Premessa 2</w:t>
            </w:r>
          </w:p>
        </w:tc>
        <w:tc>
          <w:tcPr>
            <w:tcW w:w="8104" w:type="dxa"/>
            <w:gridSpan w:val="2"/>
          </w:tcPr>
          <w:p w14:paraId="66AF2258" w14:textId="507D062C" w:rsidR="000A2E77" w:rsidRPr="000D71DF" w:rsidRDefault="000A2E77" w:rsidP="0031595F">
            <w:pPr>
              <w:pStyle w:val="Corpotesto"/>
              <w:ind w:right="45"/>
              <w:jc w:val="both"/>
              <w:rPr>
                <w:rFonts w:ascii="Arial" w:hAnsi="Arial" w:cs="Arial"/>
                <w:sz w:val="20"/>
                <w:szCs w:val="20"/>
              </w:rPr>
            </w:pPr>
            <w:r w:rsidRPr="000D71DF">
              <w:rPr>
                <w:rFonts w:ascii="Arial" w:hAnsi="Arial" w:cs="Arial"/>
                <w:sz w:val="20"/>
                <w:szCs w:val="20"/>
              </w:rPr>
              <w:t>Vengono richiamati gli obbiettivi del Consiglio Europeo del 23-24/10/2014 che ha stabilito la riduzione del 40% delle emissioni rispetto al 2005 entro il 2030. Tale riduzione dovrà essere ripartita per il 43% sui settori EU</w:t>
            </w:r>
            <w:r>
              <w:rPr>
                <w:rFonts w:ascii="Arial" w:hAnsi="Arial" w:cs="Arial"/>
                <w:sz w:val="20"/>
                <w:szCs w:val="20"/>
              </w:rPr>
              <w:t xml:space="preserve"> </w:t>
            </w:r>
            <w:r w:rsidRPr="000D71DF">
              <w:rPr>
                <w:rFonts w:ascii="Arial" w:hAnsi="Arial" w:cs="Arial"/>
                <w:sz w:val="20"/>
                <w:szCs w:val="20"/>
              </w:rPr>
              <w:t>ETS e per il 30% per i settori</w:t>
            </w:r>
            <w:r w:rsidR="00EB689B">
              <w:rPr>
                <w:rFonts w:ascii="Arial" w:hAnsi="Arial" w:cs="Arial"/>
                <w:sz w:val="20"/>
                <w:szCs w:val="20"/>
              </w:rPr>
              <w:t xml:space="preserve"> non ETS</w:t>
            </w:r>
            <w:r w:rsidR="005704FD">
              <w:rPr>
                <w:rFonts w:ascii="Arial" w:hAnsi="Arial" w:cs="Arial"/>
                <w:sz w:val="20"/>
                <w:szCs w:val="20"/>
              </w:rPr>
              <w:t xml:space="preserve">, che d’ora in avanti saranno chiamati settori </w:t>
            </w:r>
            <w:r w:rsidR="000443DE">
              <w:rPr>
                <w:rFonts w:ascii="Arial" w:hAnsi="Arial" w:cs="Arial"/>
                <w:sz w:val="20"/>
                <w:szCs w:val="20"/>
              </w:rPr>
              <w:t>ESR</w:t>
            </w:r>
            <w:r w:rsidRPr="000D71DF">
              <w:rPr>
                <w:rFonts w:ascii="Arial" w:hAnsi="Arial" w:cs="Arial"/>
                <w:sz w:val="20"/>
                <w:szCs w:val="20"/>
              </w:rPr>
              <w:t xml:space="preserve">. </w:t>
            </w:r>
            <w:r w:rsidR="005704FD">
              <w:rPr>
                <w:rFonts w:ascii="Arial" w:hAnsi="Arial" w:cs="Arial"/>
                <w:sz w:val="20"/>
                <w:szCs w:val="20"/>
              </w:rPr>
              <w:t xml:space="preserve">Tali settori sono: </w:t>
            </w:r>
            <w:r w:rsidR="00474CD7">
              <w:rPr>
                <w:rFonts w:ascii="Arial" w:hAnsi="Arial" w:cs="Arial"/>
                <w:sz w:val="20"/>
                <w:szCs w:val="20"/>
              </w:rPr>
              <w:t xml:space="preserve">tutti i settori industriali non in ETS, l’agricoltura, i trasporti, </w:t>
            </w:r>
            <w:r w:rsidR="009E7118">
              <w:rPr>
                <w:rFonts w:ascii="Arial" w:hAnsi="Arial" w:cs="Arial"/>
                <w:sz w:val="20"/>
                <w:szCs w:val="20"/>
              </w:rPr>
              <w:t>il residenziale, i rifiuti.</w:t>
            </w:r>
          </w:p>
        </w:tc>
      </w:tr>
      <w:tr w:rsidR="000A2E77" w14:paraId="404DE860" w14:textId="77777777" w:rsidTr="0031595F">
        <w:tc>
          <w:tcPr>
            <w:tcW w:w="1668" w:type="dxa"/>
          </w:tcPr>
          <w:p w14:paraId="1FFC4F8A" w14:textId="77777777" w:rsidR="000A2E77" w:rsidRPr="00575F69" w:rsidRDefault="000A2E77" w:rsidP="0031595F">
            <w:pPr>
              <w:pStyle w:val="Corpotesto"/>
              <w:ind w:right="45"/>
              <w:jc w:val="both"/>
              <w:rPr>
                <w:rFonts w:ascii="Arial" w:hAnsi="Arial" w:cs="Arial"/>
                <w:sz w:val="20"/>
                <w:szCs w:val="20"/>
              </w:rPr>
            </w:pPr>
            <w:r>
              <w:rPr>
                <w:rFonts w:ascii="Arial" w:hAnsi="Arial" w:cs="Arial"/>
                <w:sz w:val="20"/>
                <w:szCs w:val="20"/>
              </w:rPr>
              <w:t>Premessa 11</w:t>
            </w:r>
          </w:p>
        </w:tc>
        <w:tc>
          <w:tcPr>
            <w:tcW w:w="8104" w:type="dxa"/>
            <w:gridSpan w:val="2"/>
          </w:tcPr>
          <w:p w14:paraId="2D841CB4" w14:textId="77777777" w:rsidR="000A2E77" w:rsidRPr="001A7F88" w:rsidRDefault="000A2E77" w:rsidP="0031595F">
            <w:pPr>
              <w:pStyle w:val="Corpotesto"/>
              <w:ind w:right="45"/>
              <w:jc w:val="both"/>
              <w:rPr>
                <w:rFonts w:ascii="Arial" w:hAnsi="Arial" w:cs="Arial"/>
                <w:sz w:val="20"/>
                <w:szCs w:val="20"/>
              </w:rPr>
            </w:pPr>
            <w:r w:rsidRPr="001A7F88">
              <w:rPr>
                <w:rFonts w:ascii="Arial" w:hAnsi="Arial" w:cs="Arial"/>
                <w:sz w:val="20"/>
                <w:szCs w:val="20"/>
              </w:rPr>
              <w:t>Il settore agricolo esercita un impatto diretto e significativo sulla biodiversità e gli ecosistemi. Per tale motivo, è importante garantire la coerenza fra l’obiettivo del presente regolamento e altri obiettivi e politiche dell’Unione, come la politica agricola comune e gli obiettivi connessi alla strategia sulla biodiversità, alla strategia forestale e alla strategia sull’economia circolare</w:t>
            </w:r>
          </w:p>
        </w:tc>
      </w:tr>
      <w:tr w:rsidR="000A2E77" w14:paraId="3ACEC1E9" w14:textId="77777777" w:rsidTr="0031595F">
        <w:tc>
          <w:tcPr>
            <w:tcW w:w="1668" w:type="dxa"/>
          </w:tcPr>
          <w:p w14:paraId="07D8938E" w14:textId="77777777" w:rsidR="000A2E77" w:rsidRPr="00575F69" w:rsidRDefault="000A2E77" w:rsidP="0031595F">
            <w:pPr>
              <w:pStyle w:val="Corpotesto"/>
              <w:ind w:right="45"/>
              <w:jc w:val="both"/>
              <w:rPr>
                <w:rFonts w:ascii="Arial" w:hAnsi="Arial" w:cs="Arial"/>
                <w:sz w:val="20"/>
                <w:szCs w:val="20"/>
              </w:rPr>
            </w:pPr>
            <w:r>
              <w:rPr>
                <w:rFonts w:ascii="Arial" w:hAnsi="Arial" w:cs="Arial"/>
                <w:sz w:val="20"/>
                <w:szCs w:val="20"/>
              </w:rPr>
              <w:t>Premessa 22</w:t>
            </w:r>
          </w:p>
        </w:tc>
        <w:tc>
          <w:tcPr>
            <w:tcW w:w="8104" w:type="dxa"/>
            <w:gridSpan w:val="2"/>
          </w:tcPr>
          <w:p w14:paraId="1AA1588C" w14:textId="77777777" w:rsidR="000A2E77" w:rsidRPr="005F54BA" w:rsidRDefault="000A2E77" w:rsidP="0031595F">
            <w:pPr>
              <w:pStyle w:val="Corpotesto"/>
              <w:ind w:right="45"/>
              <w:jc w:val="both"/>
              <w:rPr>
                <w:rFonts w:ascii="Arial" w:hAnsi="Arial" w:cs="Arial"/>
                <w:sz w:val="20"/>
                <w:szCs w:val="20"/>
              </w:rPr>
            </w:pPr>
            <w:r w:rsidRPr="005F54BA">
              <w:rPr>
                <w:rFonts w:ascii="Arial" w:hAnsi="Arial" w:cs="Arial"/>
                <w:sz w:val="20"/>
                <w:szCs w:val="20"/>
              </w:rPr>
              <w:t xml:space="preserve">Si specifica che le contabilizzazioni degli assorbimenti e delle emissioni delle attività LULUCF sono stabilite nel Regolamento 841/2018 e non dovrebbero essere considerate nel Reg. 842/2018. Tuttavia, sotto il vincolo della regola “no </w:t>
            </w:r>
            <w:proofErr w:type="spellStart"/>
            <w:r w:rsidRPr="005F54BA">
              <w:rPr>
                <w:rFonts w:ascii="Arial" w:hAnsi="Arial" w:cs="Arial"/>
                <w:sz w:val="20"/>
                <w:szCs w:val="20"/>
              </w:rPr>
              <w:t>debit</w:t>
            </w:r>
            <w:proofErr w:type="spellEnd"/>
            <w:r w:rsidRPr="005F54BA">
              <w:rPr>
                <w:rFonts w:ascii="Arial" w:hAnsi="Arial" w:cs="Arial"/>
                <w:sz w:val="20"/>
                <w:szCs w:val="20"/>
              </w:rPr>
              <w:t>”, è possibile tenere conto degli assorbimenti di questo settore per 280 milioni di ton di CO</w:t>
            </w:r>
            <w:r w:rsidRPr="00423453">
              <w:rPr>
                <w:rFonts w:ascii="Arial" w:hAnsi="Arial" w:cs="Arial"/>
                <w:sz w:val="20"/>
                <w:szCs w:val="20"/>
                <w:vertAlign w:val="subscript"/>
              </w:rPr>
              <w:t>2</w:t>
            </w:r>
            <w:r w:rsidRPr="005F54BA">
              <w:rPr>
                <w:rFonts w:ascii="Arial" w:hAnsi="Arial" w:cs="Arial"/>
                <w:sz w:val="20"/>
                <w:szCs w:val="20"/>
              </w:rPr>
              <w:t>, ripartita tra gli Stati Membri.</w:t>
            </w:r>
          </w:p>
        </w:tc>
      </w:tr>
      <w:tr w:rsidR="000A2E77" w14:paraId="4CBEF5E6" w14:textId="77777777" w:rsidTr="0031595F">
        <w:tc>
          <w:tcPr>
            <w:tcW w:w="1668" w:type="dxa"/>
          </w:tcPr>
          <w:p w14:paraId="28F1D353" w14:textId="77777777" w:rsidR="000A2E77" w:rsidRPr="00575F69" w:rsidRDefault="000A2E77" w:rsidP="0031595F">
            <w:pPr>
              <w:pStyle w:val="Corpotesto"/>
              <w:ind w:right="45"/>
              <w:jc w:val="both"/>
              <w:rPr>
                <w:rFonts w:ascii="Arial" w:hAnsi="Arial" w:cs="Arial"/>
                <w:sz w:val="20"/>
                <w:szCs w:val="20"/>
              </w:rPr>
            </w:pPr>
            <w:r>
              <w:rPr>
                <w:rFonts w:ascii="Arial" w:hAnsi="Arial" w:cs="Arial"/>
                <w:sz w:val="20"/>
                <w:szCs w:val="20"/>
              </w:rPr>
              <w:t>Premessa 23</w:t>
            </w:r>
          </w:p>
        </w:tc>
        <w:tc>
          <w:tcPr>
            <w:tcW w:w="8104" w:type="dxa"/>
            <w:gridSpan w:val="2"/>
          </w:tcPr>
          <w:p w14:paraId="6044DC29" w14:textId="2EA38ED9" w:rsidR="000A2E77" w:rsidRPr="005F54BA" w:rsidRDefault="000A2E77" w:rsidP="0031595F">
            <w:pPr>
              <w:pStyle w:val="Corpotesto"/>
              <w:ind w:right="45"/>
              <w:jc w:val="both"/>
              <w:rPr>
                <w:rFonts w:ascii="Arial" w:hAnsi="Arial" w:cs="Arial"/>
                <w:sz w:val="20"/>
                <w:szCs w:val="20"/>
              </w:rPr>
            </w:pPr>
            <w:r>
              <w:rPr>
                <w:rFonts w:ascii="Arial" w:hAnsi="Arial" w:cs="Arial"/>
                <w:sz w:val="20"/>
                <w:szCs w:val="20"/>
              </w:rPr>
              <w:t>Si richiama la necessità di un monitoraggio e di una governance coordinata, che sarà sviluppata nel Regolamento 2018/1999 emesso lo stesso anno e discusso nel</w:t>
            </w:r>
            <w:r w:rsidR="0036039A">
              <w:rPr>
                <w:rFonts w:ascii="Arial" w:hAnsi="Arial" w:cs="Arial"/>
                <w:sz w:val="20"/>
                <w:szCs w:val="20"/>
              </w:rPr>
              <w:t xml:space="preserve"> Capitolo </w:t>
            </w:r>
            <w:r w:rsidR="00B9662B">
              <w:rPr>
                <w:rFonts w:ascii="Arial" w:hAnsi="Arial" w:cs="Arial"/>
                <w:sz w:val="20"/>
                <w:szCs w:val="20"/>
              </w:rPr>
              <w:t>6.</w:t>
            </w:r>
          </w:p>
        </w:tc>
      </w:tr>
      <w:tr w:rsidR="000A2E77" w14:paraId="31A95F7C" w14:textId="77777777" w:rsidTr="0031595F">
        <w:tc>
          <w:tcPr>
            <w:tcW w:w="1668" w:type="dxa"/>
          </w:tcPr>
          <w:p w14:paraId="54EC4CB3" w14:textId="77777777" w:rsidR="000A2E77" w:rsidRPr="00575F69" w:rsidRDefault="000A2E77" w:rsidP="0031595F">
            <w:pPr>
              <w:pStyle w:val="Corpotesto"/>
              <w:ind w:right="45"/>
              <w:jc w:val="both"/>
              <w:rPr>
                <w:rFonts w:ascii="Arial" w:hAnsi="Arial" w:cs="Arial"/>
                <w:sz w:val="20"/>
                <w:szCs w:val="20"/>
              </w:rPr>
            </w:pPr>
            <w:r>
              <w:rPr>
                <w:rFonts w:ascii="Arial" w:hAnsi="Arial" w:cs="Arial"/>
                <w:sz w:val="20"/>
                <w:szCs w:val="20"/>
              </w:rPr>
              <w:t>Premessa 27</w:t>
            </w:r>
          </w:p>
        </w:tc>
        <w:tc>
          <w:tcPr>
            <w:tcW w:w="8104" w:type="dxa"/>
            <w:gridSpan w:val="2"/>
          </w:tcPr>
          <w:p w14:paraId="08474832" w14:textId="77777777" w:rsidR="000A2E77" w:rsidRPr="005F54BA" w:rsidRDefault="000A2E77" w:rsidP="0031595F">
            <w:pPr>
              <w:pStyle w:val="Corpotesto"/>
              <w:ind w:right="45"/>
              <w:jc w:val="both"/>
              <w:rPr>
                <w:rFonts w:ascii="Arial" w:hAnsi="Arial" w:cs="Arial"/>
                <w:sz w:val="20"/>
                <w:szCs w:val="20"/>
              </w:rPr>
            </w:pPr>
            <w:r>
              <w:rPr>
                <w:rFonts w:ascii="Arial" w:hAnsi="Arial" w:cs="Arial"/>
                <w:sz w:val="20"/>
                <w:szCs w:val="20"/>
              </w:rPr>
              <w:t>Si indica espressamente che la contabilizzazione definita nel Reg. 841/2018 debba essere inserita nel quadro generale del Registro del Regolamento UE 525/2013</w:t>
            </w:r>
            <w:r>
              <w:rPr>
                <w:rStyle w:val="Rimandonotaapidipagina"/>
                <w:rFonts w:ascii="Arial" w:hAnsi="Arial" w:cs="Arial"/>
                <w:sz w:val="20"/>
                <w:szCs w:val="20"/>
              </w:rPr>
              <w:footnoteReference w:id="34"/>
            </w:r>
            <w:r>
              <w:rPr>
                <w:rFonts w:ascii="Arial" w:hAnsi="Arial" w:cs="Arial"/>
                <w:sz w:val="20"/>
                <w:szCs w:val="20"/>
              </w:rPr>
              <w:t xml:space="preserve">. </w:t>
            </w:r>
          </w:p>
        </w:tc>
      </w:tr>
      <w:tr w:rsidR="000A2E77" w:rsidRPr="0008297C" w14:paraId="3A29185F" w14:textId="77777777" w:rsidTr="0031595F">
        <w:tc>
          <w:tcPr>
            <w:tcW w:w="1668" w:type="dxa"/>
          </w:tcPr>
          <w:p w14:paraId="49C0F02A" w14:textId="77777777" w:rsidR="000A2E77" w:rsidRPr="0008297C" w:rsidRDefault="000A2E77" w:rsidP="0031595F">
            <w:pPr>
              <w:pStyle w:val="Corpotesto"/>
              <w:ind w:right="45"/>
              <w:jc w:val="center"/>
              <w:rPr>
                <w:rFonts w:ascii="Arial" w:hAnsi="Arial" w:cs="Arial"/>
                <w:b/>
                <w:bCs/>
                <w:sz w:val="24"/>
                <w:szCs w:val="24"/>
              </w:rPr>
            </w:pPr>
            <w:r w:rsidRPr="0008297C">
              <w:rPr>
                <w:rFonts w:ascii="Arial" w:hAnsi="Arial" w:cs="Arial"/>
                <w:b/>
                <w:bCs/>
                <w:sz w:val="24"/>
                <w:szCs w:val="24"/>
              </w:rPr>
              <w:t>Articolo</w:t>
            </w:r>
          </w:p>
        </w:tc>
        <w:tc>
          <w:tcPr>
            <w:tcW w:w="4252" w:type="dxa"/>
          </w:tcPr>
          <w:p w14:paraId="09CA461D" w14:textId="77777777" w:rsidR="000A2E77" w:rsidRPr="0008297C" w:rsidRDefault="000A2E77" w:rsidP="0031595F">
            <w:pPr>
              <w:pStyle w:val="Corpotesto"/>
              <w:ind w:right="45"/>
              <w:jc w:val="center"/>
              <w:rPr>
                <w:rFonts w:ascii="Arial" w:hAnsi="Arial" w:cs="Arial"/>
                <w:b/>
                <w:bCs/>
                <w:sz w:val="24"/>
                <w:szCs w:val="24"/>
              </w:rPr>
            </w:pPr>
            <w:r w:rsidRPr="0008297C">
              <w:rPr>
                <w:rFonts w:ascii="Arial" w:hAnsi="Arial" w:cs="Arial"/>
                <w:b/>
                <w:bCs/>
                <w:sz w:val="24"/>
                <w:szCs w:val="24"/>
              </w:rPr>
              <w:t>Descrizione</w:t>
            </w:r>
          </w:p>
        </w:tc>
        <w:tc>
          <w:tcPr>
            <w:tcW w:w="3852" w:type="dxa"/>
          </w:tcPr>
          <w:p w14:paraId="2FF08B9F" w14:textId="77777777" w:rsidR="000A2E77" w:rsidRPr="0008297C" w:rsidRDefault="000A2E77" w:rsidP="0031595F">
            <w:pPr>
              <w:pStyle w:val="Corpotesto"/>
              <w:ind w:right="45"/>
              <w:jc w:val="center"/>
              <w:rPr>
                <w:rFonts w:ascii="Arial" w:hAnsi="Arial" w:cs="Arial"/>
                <w:b/>
                <w:bCs/>
                <w:sz w:val="24"/>
                <w:szCs w:val="24"/>
              </w:rPr>
            </w:pPr>
            <w:r w:rsidRPr="0008297C">
              <w:rPr>
                <w:rFonts w:ascii="Arial" w:hAnsi="Arial" w:cs="Arial"/>
                <w:b/>
                <w:bCs/>
                <w:sz w:val="24"/>
                <w:szCs w:val="24"/>
              </w:rPr>
              <w:t>Considerazioni e riferimenti</w:t>
            </w:r>
          </w:p>
        </w:tc>
      </w:tr>
      <w:tr w:rsidR="000A2E77" w:rsidRPr="00D851EA" w14:paraId="7F8088CB" w14:textId="77777777" w:rsidTr="0031595F">
        <w:tc>
          <w:tcPr>
            <w:tcW w:w="1668" w:type="dxa"/>
          </w:tcPr>
          <w:p w14:paraId="5598C489" w14:textId="77777777" w:rsidR="000A2E77" w:rsidRPr="00575F69" w:rsidRDefault="000A2E77" w:rsidP="0031595F">
            <w:pPr>
              <w:pStyle w:val="Corpotesto"/>
              <w:ind w:right="45"/>
              <w:jc w:val="both"/>
              <w:rPr>
                <w:rFonts w:ascii="Arial" w:hAnsi="Arial" w:cs="Arial"/>
                <w:sz w:val="20"/>
                <w:szCs w:val="20"/>
              </w:rPr>
            </w:pPr>
            <w:r>
              <w:rPr>
                <w:rFonts w:ascii="Arial" w:hAnsi="Arial" w:cs="Arial"/>
                <w:sz w:val="20"/>
                <w:szCs w:val="20"/>
              </w:rPr>
              <w:t>Art. 2 – punto 2</w:t>
            </w:r>
          </w:p>
        </w:tc>
        <w:tc>
          <w:tcPr>
            <w:tcW w:w="4252" w:type="dxa"/>
          </w:tcPr>
          <w:p w14:paraId="60B8954F" w14:textId="77777777" w:rsidR="000A2E77" w:rsidRPr="00A7007D" w:rsidRDefault="000A2E77" w:rsidP="0031595F">
            <w:pPr>
              <w:widowControl/>
              <w:adjustRightInd w:val="0"/>
              <w:jc w:val="both"/>
              <w:rPr>
                <w:rFonts w:ascii="Arial" w:hAnsi="Arial" w:cs="Arial"/>
                <w:sz w:val="20"/>
                <w:szCs w:val="20"/>
              </w:rPr>
            </w:pPr>
            <w:r w:rsidRPr="00A7007D">
              <w:rPr>
                <w:rFonts w:ascii="Arial" w:eastAsiaTheme="minorHAnsi" w:hAnsi="Arial" w:cs="Arial"/>
                <w:sz w:val="20"/>
                <w:szCs w:val="20"/>
              </w:rPr>
              <w:t>Fatti salvi l’articolo 7 e l’articolo 9, paragrafo 2, del presente regolamento, quest’ultimo non si applica alle emissioni e agli assorbimenti di gas a effetto serra disciplinati dal regolamento (UE) 2018/841.</w:t>
            </w:r>
          </w:p>
        </w:tc>
        <w:tc>
          <w:tcPr>
            <w:tcW w:w="3852" w:type="dxa"/>
          </w:tcPr>
          <w:p w14:paraId="2444D3DD" w14:textId="77777777" w:rsidR="000A2E77" w:rsidRPr="00D851EA" w:rsidRDefault="000A2E77" w:rsidP="0031595F">
            <w:pPr>
              <w:pStyle w:val="Corpotesto"/>
              <w:ind w:right="45"/>
              <w:jc w:val="both"/>
              <w:rPr>
                <w:rFonts w:ascii="Arial" w:hAnsi="Arial" w:cs="Arial"/>
                <w:sz w:val="20"/>
                <w:szCs w:val="20"/>
              </w:rPr>
            </w:pPr>
            <w:r>
              <w:rPr>
                <w:rFonts w:ascii="Arial" w:hAnsi="Arial" w:cs="Arial"/>
                <w:sz w:val="20"/>
                <w:szCs w:val="20"/>
              </w:rPr>
              <w:t>Il settore LULUCF è integrato nel Regolamento 842, ma la sua regolamentazione è demandata al Regolamento 841/2018.</w:t>
            </w:r>
          </w:p>
        </w:tc>
      </w:tr>
      <w:tr w:rsidR="000A2E77" w:rsidRPr="00D851EA" w14:paraId="6E3A2D9C" w14:textId="77777777" w:rsidTr="0031595F">
        <w:tc>
          <w:tcPr>
            <w:tcW w:w="1668" w:type="dxa"/>
          </w:tcPr>
          <w:p w14:paraId="010CC6D7" w14:textId="77777777" w:rsidR="000A2E77" w:rsidRPr="00575F69" w:rsidRDefault="000A2E77" w:rsidP="0031595F">
            <w:pPr>
              <w:pStyle w:val="Corpotesto"/>
              <w:ind w:right="45"/>
              <w:jc w:val="both"/>
              <w:rPr>
                <w:rFonts w:ascii="Arial" w:hAnsi="Arial" w:cs="Arial"/>
                <w:sz w:val="20"/>
                <w:szCs w:val="20"/>
              </w:rPr>
            </w:pPr>
            <w:r>
              <w:rPr>
                <w:rFonts w:ascii="Arial" w:hAnsi="Arial" w:cs="Arial"/>
                <w:sz w:val="20"/>
                <w:szCs w:val="20"/>
              </w:rPr>
              <w:t>Art. 7</w:t>
            </w:r>
          </w:p>
        </w:tc>
        <w:tc>
          <w:tcPr>
            <w:tcW w:w="4252" w:type="dxa"/>
          </w:tcPr>
          <w:p w14:paraId="6234D994" w14:textId="033FEE12" w:rsidR="000A2E77" w:rsidRPr="00CE32E9" w:rsidRDefault="000A2E77" w:rsidP="0031595F">
            <w:pPr>
              <w:widowControl/>
              <w:adjustRightInd w:val="0"/>
              <w:jc w:val="both"/>
              <w:rPr>
                <w:rFonts w:ascii="Arial" w:hAnsi="Arial" w:cs="Arial"/>
                <w:sz w:val="20"/>
                <w:szCs w:val="20"/>
              </w:rPr>
            </w:pPr>
            <w:r w:rsidRPr="00CE32E9">
              <w:rPr>
                <w:rFonts w:ascii="Arial" w:eastAsiaTheme="minorHAnsi" w:hAnsi="Arial" w:cs="Arial"/>
                <w:sz w:val="20"/>
                <w:szCs w:val="20"/>
              </w:rPr>
              <w:t xml:space="preserve">Specifica che se le emissioni di gas a effetto serra </w:t>
            </w:r>
            <w:r w:rsidR="001214C6">
              <w:rPr>
                <w:rFonts w:ascii="Arial" w:eastAsiaTheme="minorHAnsi" w:hAnsi="Arial" w:cs="Arial"/>
                <w:sz w:val="20"/>
                <w:szCs w:val="20"/>
              </w:rPr>
              <w:t xml:space="preserve">nell’ESR </w:t>
            </w:r>
            <w:r w:rsidRPr="00CE32E9">
              <w:rPr>
                <w:rFonts w:ascii="Arial" w:eastAsiaTheme="minorHAnsi" w:hAnsi="Arial" w:cs="Arial"/>
                <w:sz w:val="20"/>
                <w:szCs w:val="20"/>
              </w:rPr>
              <w:t>di uno Stato membro superano la sua assegnazione annuale per un dato anno, è possibile tenere conto, di una quantità fino alla somma degli assorbimenti netti totali e delle emissioni nette totali, risultanti dalle categorie contabili di</w:t>
            </w:r>
            <w:r>
              <w:rPr>
                <w:rFonts w:ascii="Arial" w:eastAsiaTheme="minorHAnsi" w:hAnsi="Arial" w:cs="Arial"/>
                <w:sz w:val="20"/>
                <w:szCs w:val="20"/>
              </w:rPr>
              <w:t xml:space="preserve"> </w:t>
            </w:r>
            <w:r w:rsidRPr="00CE32E9">
              <w:rPr>
                <w:rFonts w:ascii="Arial" w:eastAsiaTheme="minorHAnsi" w:hAnsi="Arial" w:cs="Arial"/>
                <w:sz w:val="20"/>
                <w:szCs w:val="20"/>
              </w:rPr>
              <w:t>suolo combinate «terreni imboschiti», «terreni disboscati», «terre coltivate gestite», «pascoli gestiti»</w:t>
            </w:r>
            <w:r>
              <w:rPr>
                <w:rFonts w:ascii="Arial" w:eastAsiaTheme="minorHAnsi" w:hAnsi="Arial" w:cs="Arial"/>
                <w:sz w:val="20"/>
                <w:szCs w:val="20"/>
              </w:rPr>
              <w:t xml:space="preserve">, </w:t>
            </w:r>
            <w:r w:rsidR="003126AF">
              <w:rPr>
                <w:rFonts w:ascii="Arial" w:eastAsiaTheme="minorHAnsi" w:hAnsi="Arial" w:cs="Arial"/>
                <w:sz w:val="20"/>
                <w:szCs w:val="20"/>
              </w:rPr>
              <w:t>purché</w:t>
            </w:r>
            <w:r>
              <w:rPr>
                <w:rFonts w:ascii="Arial" w:eastAsiaTheme="minorHAnsi" w:hAnsi="Arial" w:cs="Arial"/>
                <w:sz w:val="20"/>
                <w:szCs w:val="20"/>
              </w:rPr>
              <w:t xml:space="preserve"> vengano rispettare le norme del Regolamento 841/2018. Il massimo possibile per tutta la UE è di 280 </w:t>
            </w:r>
            <w:r>
              <w:rPr>
                <w:rFonts w:ascii="Arial" w:eastAsiaTheme="minorHAnsi" w:hAnsi="Arial" w:cs="Arial"/>
                <w:sz w:val="20"/>
                <w:szCs w:val="20"/>
              </w:rPr>
              <w:lastRenderedPageBreak/>
              <w:t>milioni di ton di CO2</w:t>
            </w:r>
          </w:p>
        </w:tc>
        <w:tc>
          <w:tcPr>
            <w:tcW w:w="3852" w:type="dxa"/>
          </w:tcPr>
          <w:p w14:paraId="208BFACE" w14:textId="77777777" w:rsidR="000A2E77" w:rsidRPr="000E3F92" w:rsidRDefault="000A2E77" w:rsidP="0031595F">
            <w:pPr>
              <w:pStyle w:val="Corpotesto"/>
              <w:ind w:right="45"/>
              <w:jc w:val="both"/>
              <w:rPr>
                <w:rFonts w:ascii="Arial" w:hAnsi="Arial" w:cs="Arial"/>
                <w:sz w:val="20"/>
                <w:szCs w:val="20"/>
              </w:rPr>
            </w:pPr>
            <w:r>
              <w:rPr>
                <w:rFonts w:ascii="Arial" w:hAnsi="Arial" w:cs="Arial"/>
                <w:sz w:val="20"/>
                <w:szCs w:val="20"/>
              </w:rPr>
              <w:lastRenderedPageBreak/>
              <w:t xml:space="preserve">Questo articolo </w:t>
            </w:r>
            <w:proofErr w:type="gramStart"/>
            <w:r>
              <w:rPr>
                <w:rFonts w:ascii="Arial" w:hAnsi="Arial" w:cs="Arial"/>
                <w:sz w:val="20"/>
                <w:szCs w:val="20"/>
              </w:rPr>
              <w:t>è</w:t>
            </w:r>
            <w:proofErr w:type="gramEnd"/>
            <w:r>
              <w:rPr>
                <w:rFonts w:ascii="Arial" w:hAnsi="Arial" w:cs="Arial"/>
                <w:sz w:val="20"/>
                <w:szCs w:val="20"/>
              </w:rPr>
              <w:t xml:space="preserve"> sancisce il concetto espresso nella Premessa 22. Nell’articolo sono specificate una serie </w:t>
            </w:r>
            <w:r w:rsidRPr="000E3F92">
              <w:rPr>
                <w:rFonts w:ascii="Arial" w:hAnsi="Arial" w:cs="Arial"/>
                <w:sz w:val="20"/>
                <w:szCs w:val="20"/>
              </w:rPr>
              <w:t xml:space="preserve">di condizioni per la sua applicazione. </w:t>
            </w:r>
          </w:p>
          <w:p w14:paraId="35216F54" w14:textId="5772A289" w:rsidR="000A2E77" w:rsidRDefault="000A2E77" w:rsidP="0031595F">
            <w:pPr>
              <w:pStyle w:val="Corpotesto"/>
              <w:ind w:right="45"/>
              <w:jc w:val="both"/>
              <w:rPr>
                <w:rFonts w:ascii="Arial" w:hAnsi="Arial" w:cs="Arial"/>
                <w:sz w:val="20"/>
                <w:szCs w:val="20"/>
              </w:rPr>
            </w:pPr>
            <w:r w:rsidRPr="000E3F92">
              <w:rPr>
                <w:rFonts w:ascii="Arial" w:hAnsi="Arial" w:cs="Arial"/>
                <w:sz w:val="20"/>
                <w:szCs w:val="20"/>
              </w:rPr>
              <w:t>Tuttavia</w:t>
            </w:r>
            <w:r w:rsidR="000E3F92" w:rsidRPr="000E3F92">
              <w:rPr>
                <w:rFonts w:ascii="Arial" w:hAnsi="Arial" w:cs="Arial"/>
                <w:sz w:val="20"/>
                <w:szCs w:val="20"/>
              </w:rPr>
              <w:t>,</w:t>
            </w:r>
            <w:r w:rsidRPr="000E3F92">
              <w:rPr>
                <w:rFonts w:ascii="Arial" w:hAnsi="Arial" w:cs="Arial"/>
                <w:sz w:val="20"/>
                <w:szCs w:val="20"/>
              </w:rPr>
              <w:t xml:space="preserve"> mostra che le attività LULUCF concorrono direttamente alla contabilizzazione degli assorbimenti di ogni Stato</w:t>
            </w:r>
            <w:r w:rsidR="00793455">
              <w:rPr>
                <w:rFonts w:ascii="Arial" w:hAnsi="Arial" w:cs="Arial"/>
                <w:sz w:val="20"/>
                <w:szCs w:val="20"/>
              </w:rPr>
              <w:t xml:space="preserve"> </w:t>
            </w:r>
            <w:r w:rsidR="000855A4">
              <w:rPr>
                <w:rFonts w:ascii="Arial" w:hAnsi="Arial" w:cs="Arial"/>
                <w:sz w:val="20"/>
                <w:szCs w:val="20"/>
              </w:rPr>
              <w:t>ne</w:t>
            </w:r>
            <w:r w:rsidR="00793455">
              <w:rPr>
                <w:rFonts w:ascii="Arial" w:hAnsi="Arial" w:cs="Arial"/>
                <w:sz w:val="20"/>
                <w:szCs w:val="20"/>
              </w:rPr>
              <w:t>ll’ESR</w:t>
            </w:r>
            <w:r w:rsidRPr="000E3F92">
              <w:rPr>
                <w:rFonts w:ascii="Arial" w:hAnsi="Arial" w:cs="Arial"/>
                <w:sz w:val="20"/>
                <w:szCs w:val="20"/>
              </w:rPr>
              <w:t xml:space="preserve"> come meccanismo di flessibilità.</w:t>
            </w:r>
          </w:p>
          <w:p w14:paraId="5EB8AFB9" w14:textId="77777777" w:rsidR="000A2E77" w:rsidRPr="00D851EA" w:rsidRDefault="000A2E77" w:rsidP="0031595F">
            <w:pPr>
              <w:pStyle w:val="Corpotesto"/>
              <w:ind w:right="45"/>
              <w:jc w:val="both"/>
              <w:rPr>
                <w:rFonts w:ascii="Arial" w:hAnsi="Arial" w:cs="Arial"/>
                <w:sz w:val="20"/>
                <w:szCs w:val="20"/>
              </w:rPr>
            </w:pPr>
            <w:r>
              <w:rPr>
                <w:rFonts w:ascii="Arial" w:hAnsi="Arial" w:cs="Arial"/>
                <w:sz w:val="20"/>
                <w:szCs w:val="20"/>
              </w:rPr>
              <w:t xml:space="preserve">La quota che ogni Stato Membro può utilizzare di questi 280 milioni di ton di CO2 è nell’Allegato III. Per l’Italia sono </w:t>
            </w:r>
            <w:r>
              <w:rPr>
                <w:rFonts w:ascii="Arial" w:hAnsi="Arial" w:cs="Arial"/>
                <w:sz w:val="20"/>
                <w:szCs w:val="20"/>
              </w:rPr>
              <w:lastRenderedPageBreak/>
              <w:t xml:space="preserve">11,5 milioni di ton di CO2 </w:t>
            </w:r>
            <w:proofErr w:type="spellStart"/>
            <w:r>
              <w:rPr>
                <w:rFonts w:ascii="Arial" w:hAnsi="Arial" w:cs="Arial"/>
                <w:sz w:val="20"/>
                <w:szCs w:val="20"/>
              </w:rPr>
              <w:t>eq</w:t>
            </w:r>
            <w:proofErr w:type="spellEnd"/>
            <w:r>
              <w:rPr>
                <w:rFonts w:ascii="Arial" w:hAnsi="Arial" w:cs="Arial"/>
                <w:sz w:val="20"/>
                <w:szCs w:val="20"/>
              </w:rPr>
              <w:t xml:space="preserve">. </w:t>
            </w:r>
          </w:p>
        </w:tc>
      </w:tr>
      <w:tr w:rsidR="000A2E77" w:rsidRPr="00D851EA" w14:paraId="765794CD" w14:textId="77777777" w:rsidTr="0031595F">
        <w:tc>
          <w:tcPr>
            <w:tcW w:w="1668" w:type="dxa"/>
          </w:tcPr>
          <w:p w14:paraId="48F4BEF8" w14:textId="77777777" w:rsidR="000A2E77" w:rsidRPr="00575F69" w:rsidRDefault="000A2E77" w:rsidP="0031595F">
            <w:pPr>
              <w:pStyle w:val="Corpotesto"/>
              <w:ind w:right="45"/>
              <w:jc w:val="both"/>
              <w:rPr>
                <w:rFonts w:ascii="Arial" w:hAnsi="Arial" w:cs="Arial"/>
                <w:sz w:val="20"/>
                <w:szCs w:val="20"/>
              </w:rPr>
            </w:pPr>
            <w:r>
              <w:rPr>
                <w:rFonts w:ascii="Arial" w:hAnsi="Arial" w:cs="Arial"/>
                <w:sz w:val="20"/>
                <w:szCs w:val="20"/>
              </w:rPr>
              <w:lastRenderedPageBreak/>
              <w:t>Allegato I</w:t>
            </w:r>
          </w:p>
        </w:tc>
        <w:tc>
          <w:tcPr>
            <w:tcW w:w="4252" w:type="dxa"/>
          </w:tcPr>
          <w:p w14:paraId="704F0F53" w14:textId="77777777" w:rsidR="000A2E77" w:rsidRPr="00B31C27" w:rsidRDefault="000A2E77" w:rsidP="0031595F">
            <w:pPr>
              <w:pStyle w:val="Corpotesto"/>
              <w:ind w:right="45"/>
              <w:jc w:val="both"/>
              <w:rPr>
                <w:rFonts w:ascii="Arial" w:hAnsi="Arial" w:cs="Arial"/>
                <w:sz w:val="20"/>
                <w:szCs w:val="20"/>
              </w:rPr>
            </w:pPr>
            <w:r>
              <w:rPr>
                <w:rFonts w:ascii="Arial" w:hAnsi="Arial" w:cs="Arial"/>
                <w:sz w:val="20"/>
                <w:szCs w:val="20"/>
              </w:rPr>
              <w:t>Riduzioni di Gas serra per l’Italia, in conformità all’Art. 4 per raggiungere gli obbiettivi al 2030: -33% rispetto al 2005.</w:t>
            </w:r>
          </w:p>
        </w:tc>
        <w:tc>
          <w:tcPr>
            <w:tcW w:w="3852" w:type="dxa"/>
          </w:tcPr>
          <w:p w14:paraId="240BDE30" w14:textId="6E01474F" w:rsidR="000A2E77" w:rsidRPr="00D851EA" w:rsidRDefault="000855A4" w:rsidP="0031595F">
            <w:pPr>
              <w:pStyle w:val="Corpotesto"/>
              <w:ind w:right="45"/>
              <w:jc w:val="both"/>
              <w:rPr>
                <w:rFonts w:ascii="Arial" w:hAnsi="Arial" w:cs="Arial"/>
                <w:sz w:val="20"/>
                <w:szCs w:val="20"/>
              </w:rPr>
            </w:pPr>
            <w:r>
              <w:rPr>
                <w:rFonts w:ascii="Arial" w:hAnsi="Arial" w:cs="Arial"/>
                <w:sz w:val="20"/>
                <w:szCs w:val="20"/>
              </w:rPr>
              <w:t>Questo è l’obbiettivo per i settori non ETS, ovvero che appartengono all’ESR.</w:t>
            </w:r>
          </w:p>
        </w:tc>
      </w:tr>
    </w:tbl>
    <w:p w14:paraId="18F4739D" w14:textId="77777777" w:rsidR="000A2E77" w:rsidRDefault="000A2E77" w:rsidP="000A2E77">
      <w:pPr>
        <w:pStyle w:val="Corpotesto"/>
        <w:ind w:right="45"/>
        <w:jc w:val="both"/>
        <w:rPr>
          <w:rFonts w:ascii="Arial" w:hAnsi="Arial" w:cs="Arial"/>
          <w:sz w:val="24"/>
          <w:szCs w:val="24"/>
        </w:rPr>
      </w:pPr>
    </w:p>
    <w:p w14:paraId="458E549A" w14:textId="57F2C111" w:rsidR="007C0E33" w:rsidRDefault="003B7757" w:rsidP="00F33F73">
      <w:pPr>
        <w:pStyle w:val="Corpotesto"/>
        <w:ind w:right="45" w:firstLine="567"/>
        <w:jc w:val="both"/>
        <w:rPr>
          <w:rFonts w:ascii="Arial" w:hAnsi="Arial" w:cs="Arial"/>
          <w:sz w:val="24"/>
          <w:szCs w:val="24"/>
        </w:rPr>
      </w:pPr>
      <w:r>
        <w:rPr>
          <w:rFonts w:ascii="Arial" w:hAnsi="Arial" w:cs="Arial"/>
          <w:sz w:val="24"/>
          <w:szCs w:val="24"/>
        </w:rPr>
        <w:t xml:space="preserve">Il Regolamento 842/2018 </w:t>
      </w:r>
      <w:r w:rsidR="00CB7B26">
        <w:rPr>
          <w:rFonts w:ascii="Arial" w:hAnsi="Arial" w:cs="Arial"/>
          <w:sz w:val="24"/>
          <w:szCs w:val="24"/>
        </w:rPr>
        <w:t xml:space="preserve">definisce gli obbiettivi </w:t>
      </w:r>
      <w:r w:rsidR="003E5A1B">
        <w:rPr>
          <w:rFonts w:ascii="Arial" w:hAnsi="Arial" w:cs="Arial"/>
          <w:sz w:val="24"/>
          <w:szCs w:val="24"/>
        </w:rPr>
        <w:t>della UE sulla riduzione</w:t>
      </w:r>
      <w:r w:rsidR="000E2101">
        <w:rPr>
          <w:rFonts w:ascii="Arial" w:hAnsi="Arial" w:cs="Arial"/>
          <w:sz w:val="24"/>
          <w:szCs w:val="24"/>
        </w:rPr>
        <w:t xml:space="preserve"> vincolante</w:t>
      </w:r>
      <w:r w:rsidR="003E5A1B">
        <w:rPr>
          <w:rFonts w:ascii="Arial" w:hAnsi="Arial" w:cs="Arial"/>
          <w:sz w:val="24"/>
          <w:szCs w:val="24"/>
        </w:rPr>
        <w:t xml:space="preserve"> delle emissioni (allora fissate al 40% entro il 2030) </w:t>
      </w:r>
      <w:r w:rsidR="00E46877">
        <w:rPr>
          <w:rFonts w:ascii="Arial" w:hAnsi="Arial" w:cs="Arial"/>
          <w:sz w:val="24"/>
          <w:szCs w:val="24"/>
        </w:rPr>
        <w:t xml:space="preserve">per ogni singolo SM </w:t>
      </w:r>
      <w:r w:rsidR="00F33F73">
        <w:rPr>
          <w:rFonts w:ascii="Arial" w:hAnsi="Arial" w:cs="Arial"/>
          <w:sz w:val="24"/>
          <w:szCs w:val="24"/>
        </w:rPr>
        <w:t>ripartendoli tra i settori ETS e i settori E</w:t>
      </w:r>
      <w:r w:rsidR="000855A4">
        <w:rPr>
          <w:rFonts w:ascii="Arial" w:hAnsi="Arial" w:cs="Arial"/>
          <w:sz w:val="24"/>
          <w:szCs w:val="24"/>
        </w:rPr>
        <w:t>SR</w:t>
      </w:r>
      <w:r w:rsidR="00E46877">
        <w:rPr>
          <w:rFonts w:ascii="Arial" w:hAnsi="Arial" w:cs="Arial"/>
          <w:sz w:val="24"/>
          <w:szCs w:val="24"/>
        </w:rPr>
        <w:t xml:space="preserve"> al fine di </w:t>
      </w:r>
      <w:r w:rsidR="00D631DE">
        <w:rPr>
          <w:rFonts w:ascii="Arial" w:hAnsi="Arial" w:cs="Arial"/>
          <w:sz w:val="24"/>
          <w:szCs w:val="24"/>
        </w:rPr>
        <w:t>onora</w:t>
      </w:r>
      <w:r w:rsidR="00E46877">
        <w:rPr>
          <w:rFonts w:ascii="Arial" w:hAnsi="Arial" w:cs="Arial"/>
          <w:sz w:val="24"/>
          <w:szCs w:val="24"/>
        </w:rPr>
        <w:t xml:space="preserve">re </w:t>
      </w:r>
      <w:r w:rsidR="000948AF">
        <w:rPr>
          <w:rFonts w:ascii="Arial" w:hAnsi="Arial" w:cs="Arial"/>
          <w:sz w:val="24"/>
          <w:szCs w:val="24"/>
        </w:rPr>
        <w:t>gli Accordi di Parigi</w:t>
      </w:r>
      <w:r w:rsidR="00F33F73">
        <w:rPr>
          <w:rFonts w:ascii="Arial" w:hAnsi="Arial" w:cs="Arial"/>
          <w:sz w:val="24"/>
          <w:szCs w:val="24"/>
        </w:rPr>
        <w:t xml:space="preserve">. </w:t>
      </w:r>
      <w:r w:rsidR="009C0732">
        <w:rPr>
          <w:rFonts w:ascii="Arial" w:hAnsi="Arial" w:cs="Arial"/>
          <w:sz w:val="24"/>
          <w:szCs w:val="24"/>
        </w:rPr>
        <w:t xml:space="preserve">In altri termini, </w:t>
      </w:r>
      <w:r w:rsidR="00FF3191">
        <w:rPr>
          <w:rFonts w:ascii="Arial" w:hAnsi="Arial" w:cs="Arial"/>
          <w:sz w:val="24"/>
          <w:szCs w:val="24"/>
        </w:rPr>
        <w:t>alla luce dell’inventario</w:t>
      </w:r>
      <w:r w:rsidR="0073255F">
        <w:rPr>
          <w:rFonts w:ascii="Arial" w:hAnsi="Arial" w:cs="Arial"/>
          <w:sz w:val="24"/>
          <w:szCs w:val="24"/>
        </w:rPr>
        <w:t xml:space="preserve"> sui gas GHG</w:t>
      </w:r>
      <w:r w:rsidR="00FF3191">
        <w:rPr>
          <w:rFonts w:ascii="Arial" w:hAnsi="Arial" w:cs="Arial"/>
          <w:sz w:val="24"/>
          <w:szCs w:val="24"/>
        </w:rPr>
        <w:t xml:space="preserve"> </w:t>
      </w:r>
      <w:r w:rsidR="0073255F">
        <w:rPr>
          <w:rFonts w:ascii="Arial" w:hAnsi="Arial" w:cs="Arial"/>
          <w:sz w:val="24"/>
          <w:szCs w:val="24"/>
        </w:rPr>
        <w:t xml:space="preserve">definito nel Regolamento 525/2013 e discusso in precedenza, il Regolamento </w:t>
      </w:r>
      <w:r w:rsidR="005831E2">
        <w:rPr>
          <w:rFonts w:ascii="Arial" w:hAnsi="Arial" w:cs="Arial"/>
          <w:sz w:val="24"/>
          <w:szCs w:val="24"/>
        </w:rPr>
        <w:t>2018/</w:t>
      </w:r>
      <w:r w:rsidR="0073255F">
        <w:rPr>
          <w:rFonts w:ascii="Arial" w:hAnsi="Arial" w:cs="Arial"/>
          <w:sz w:val="24"/>
          <w:szCs w:val="24"/>
        </w:rPr>
        <w:t>842</w:t>
      </w:r>
      <w:r w:rsidR="00F8106D">
        <w:rPr>
          <w:rFonts w:ascii="Arial" w:hAnsi="Arial" w:cs="Arial"/>
          <w:sz w:val="24"/>
          <w:szCs w:val="24"/>
        </w:rPr>
        <w:t xml:space="preserve"> stabilisce</w:t>
      </w:r>
      <w:r w:rsidR="007C0E33">
        <w:rPr>
          <w:rFonts w:ascii="Arial" w:hAnsi="Arial" w:cs="Arial"/>
          <w:sz w:val="24"/>
          <w:szCs w:val="24"/>
        </w:rPr>
        <w:t>:</w:t>
      </w:r>
    </w:p>
    <w:p w14:paraId="16E58078" w14:textId="77777777" w:rsidR="005831E2" w:rsidRDefault="005831E2" w:rsidP="00F33F73">
      <w:pPr>
        <w:pStyle w:val="Corpotesto"/>
        <w:ind w:right="45" w:firstLine="567"/>
        <w:jc w:val="both"/>
        <w:rPr>
          <w:rFonts w:ascii="Arial" w:hAnsi="Arial" w:cs="Arial"/>
          <w:sz w:val="24"/>
          <w:szCs w:val="24"/>
        </w:rPr>
      </w:pPr>
    </w:p>
    <w:p w14:paraId="44C96821" w14:textId="2F2E474F" w:rsidR="007C0E33" w:rsidRDefault="009522BD" w:rsidP="00076117">
      <w:pPr>
        <w:pStyle w:val="Corpotesto"/>
        <w:numPr>
          <w:ilvl w:val="0"/>
          <w:numId w:val="42"/>
        </w:numPr>
        <w:ind w:right="45"/>
        <w:jc w:val="both"/>
        <w:rPr>
          <w:rFonts w:ascii="Arial" w:hAnsi="Arial" w:cs="Arial"/>
          <w:sz w:val="24"/>
          <w:szCs w:val="24"/>
        </w:rPr>
      </w:pPr>
      <w:r>
        <w:rPr>
          <w:rFonts w:ascii="Arial" w:hAnsi="Arial" w:cs="Arial"/>
          <w:sz w:val="24"/>
          <w:szCs w:val="24"/>
        </w:rPr>
        <w:t xml:space="preserve">la creazione di un registro unico delle emissioni </w:t>
      </w:r>
      <w:r w:rsidR="00922D6E">
        <w:rPr>
          <w:rFonts w:ascii="Arial" w:hAnsi="Arial" w:cs="Arial"/>
          <w:sz w:val="24"/>
          <w:szCs w:val="24"/>
        </w:rPr>
        <w:t>a livello europeo e di registri nazionali sulle emissioni</w:t>
      </w:r>
      <w:r w:rsidR="009319BD">
        <w:rPr>
          <w:rFonts w:ascii="Arial" w:hAnsi="Arial" w:cs="Arial"/>
          <w:sz w:val="24"/>
          <w:szCs w:val="24"/>
        </w:rPr>
        <w:t>, dove le regole di contabilizzazione sono quelle definite ne</w:t>
      </w:r>
      <w:r w:rsidR="00A61170">
        <w:rPr>
          <w:rFonts w:ascii="Arial" w:hAnsi="Arial" w:cs="Arial"/>
          <w:sz w:val="24"/>
          <w:szCs w:val="24"/>
        </w:rPr>
        <w:t xml:space="preserve">ll’inventario dei gas GHG del Regolamento 525/2013, integrate da alcuni meccanismi </w:t>
      </w:r>
      <w:r w:rsidR="00583B15">
        <w:rPr>
          <w:rFonts w:ascii="Arial" w:hAnsi="Arial" w:cs="Arial"/>
          <w:sz w:val="24"/>
          <w:szCs w:val="24"/>
        </w:rPr>
        <w:t>specifici descritti nel Regolamento 2018/942;</w:t>
      </w:r>
    </w:p>
    <w:p w14:paraId="59B53C35" w14:textId="31D2F50C" w:rsidR="00583B15" w:rsidRDefault="00EC0EC2" w:rsidP="00076117">
      <w:pPr>
        <w:pStyle w:val="Corpotesto"/>
        <w:numPr>
          <w:ilvl w:val="0"/>
          <w:numId w:val="42"/>
        </w:numPr>
        <w:ind w:right="45"/>
        <w:jc w:val="both"/>
        <w:rPr>
          <w:rFonts w:ascii="Arial" w:hAnsi="Arial" w:cs="Arial"/>
          <w:sz w:val="24"/>
          <w:szCs w:val="24"/>
        </w:rPr>
      </w:pPr>
      <w:r>
        <w:rPr>
          <w:rFonts w:ascii="Arial" w:hAnsi="Arial" w:cs="Arial"/>
          <w:sz w:val="24"/>
          <w:szCs w:val="24"/>
        </w:rPr>
        <w:t>tale registro per ogni SM è composto da dalle emissioni</w:t>
      </w:r>
      <w:r w:rsidR="004A0916">
        <w:rPr>
          <w:rFonts w:ascii="Arial" w:hAnsi="Arial" w:cs="Arial"/>
          <w:sz w:val="24"/>
          <w:szCs w:val="24"/>
        </w:rPr>
        <w:t xml:space="preserve"> in ton di CO</w:t>
      </w:r>
      <w:r w:rsidR="004A0916" w:rsidRPr="00423453">
        <w:rPr>
          <w:rFonts w:ascii="Arial" w:hAnsi="Arial" w:cs="Arial"/>
          <w:sz w:val="24"/>
          <w:szCs w:val="24"/>
          <w:vertAlign w:val="subscript"/>
        </w:rPr>
        <w:t>2</w:t>
      </w:r>
      <w:r w:rsidR="004A0916">
        <w:rPr>
          <w:rFonts w:ascii="Arial" w:hAnsi="Arial" w:cs="Arial"/>
          <w:sz w:val="24"/>
          <w:szCs w:val="24"/>
        </w:rPr>
        <w:t xml:space="preserve"> </w:t>
      </w:r>
      <w:proofErr w:type="spellStart"/>
      <w:r w:rsidR="004A0916">
        <w:rPr>
          <w:rFonts w:ascii="Arial" w:hAnsi="Arial" w:cs="Arial"/>
          <w:sz w:val="24"/>
          <w:szCs w:val="24"/>
        </w:rPr>
        <w:t>eq</w:t>
      </w:r>
      <w:proofErr w:type="spellEnd"/>
      <w:r w:rsidR="004A0916">
        <w:rPr>
          <w:rFonts w:ascii="Arial" w:hAnsi="Arial" w:cs="Arial"/>
          <w:sz w:val="24"/>
          <w:szCs w:val="24"/>
        </w:rPr>
        <w:t>.</w:t>
      </w:r>
      <w:r>
        <w:rPr>
          <w:rFonts w:ascii="Arial" w:hAnsi="Arial" w:cs="Arial"/>
          <w:sz w:val="24"/>
          <w:szCs w:val="24"/>
        </w:rPr>
        <w:t xml:space="preserve"> </w:t>
      </w:r>
      <w:r w:rsidR="000270FE">
        <w:rPr>
          <w:rFonts w:ascii="Arial" w:hAnsi="Arial" w:cs="Arial"/>
          <w:sz w:val="24"/>
          <w:szCs w:val="24"/>
        </w:rPr>
        <w:t xml:space="preserve">assegnate al mercato EU ETS </w:t>
      </w:r>
      <w:r w:rsidR="004A0916">
        <w:rPr>
          <w:rFonts w:ascii="Arial" w:hAnsi="Arial" w:cs="Arial"/>
          <w:sz w:val="24"/>
          <w:szCs w:val="24"/>
        </w:rPr>
        <w:t xml:space="preserve">del singolo SM e da quelle </w:t>
      </w:r>
      <w:r w:rsidR="001B107B">
        <w:rPr>
          <w:rFonts w:ascii="Arial" w:hAnsi="Arial" w:cs="Arial"/>
          <w:sz w:val="24"/>
          <w:szCs w:val="24"/>
        </w:rPr>
        <w:t>dei settori che appartengono al meccanismo ESR (</w:t>
      </w:r>
      <w:r w:rsidR="000D407E">
        <w:rPr>
          <w:rFonts w:ascii="Arial" w:hAnsi="Arial" w:cs="Arial"/>
          <w:sz w:val="24"/>
          <w:szCs w:val="24"/>
        </w:rPr>
        <w:t xml:space="preserve">Agricoltura, settori industriali non in EU ETS, trasporti, residenziale e </w:t>
      </w:r>
      <w:r w:rsidR="00B07644">
        <w:rPr>
          <w:rFonts w:ascii="Arial" w:hAnsi="Arial" w:cs="Arial"/>
          <w:sz w:val="24"/>
          <w:szCs w:val="24"/>
        </w:rPr>
        <w:t xml:space="preserve">gestione </w:t>
      </w:r>
      <w:r w:rsidR="000D407E">
        <w:rPr>
          <w:rFonts w:ascii="Arial" w:hAnsi="Arial" w:cs="Arial"/>
          <w:sz w:val="24"/>
          <w:szCs w:val="24"/>
        </w:rPr>
        <w:t>rifiuti)</w:t>
      </w:r>
      <w:r w:rsidR="00B07644">
        <w:rPr>
          <w:rFonts w:ascii="Arial" w:hAnsi="Arial" w:cs="Arial"/>
          <w:sz w:val="24"/>
          <w:szCs w:val="24"/>
        </w:rPr>
        <w:t>;</w:t>
      </w:r>
    </w:p>
    <w:p w14:paraId="2E0BA69A" w14:textId="65FCD4FC" w:rsidR="00986B1B" w:rsidRDefault="00B13BEC" w:rsidP="00076117">
      <w:pPr>
        <w:pStyle w:val="Corpotesto"/>
        <w:numPr>
          <w:ilvl w:val="0"/>
          <w:numId w:val="42"/>
        </w:numPr>
        <w:ind w:right="45"/>
        <w:jc w:val="both"/>
        <w:rPr>
          <w:rFonts w:ascii="Arial" w:hAnsi="Arial" w:cs="Arial"/>
          <w:sz w:val="24"/>
          <w:szCs w:val="24"/>
        </w:rPr>
      </w:pPr>
      <w:r>
        <w:rPr>
          <w:rFonts w:ascii="Arial" w:hAnsi="Arial" w:cs="Arial"/>
          <w:sz w:val="24"/>
          <w:szCs w:val="24"/>
        </w:rPr>
        <w:t>o</w:t>
      </w:r>
      <w:r w:rsidR="00B07644">
        <w:rPr>
          <w:rFonts w:ascii="Arial" w:hAnsi="Arial" w:cs="Arial"/>
          <w:sz w:val="24"/>
          <w:szCs w:val="24"/>
        </w:rPr>
        <w:t xml:space="preserve">gni </w:t>
      </w:r>
      <w:r w:rsidR="00924238">
        <w:rPr>
          <w:rFonts w:ascii="Arial" w:hAnsi="Arial" w:cs="Arial"/>
          <w:sz w:val="24"/>
          <w:szCs w:val="24"/>
        </w:rPr>
        <w:t xml:space="preserve">SM ha degli obbiettivi vincolanti </w:t>
      </w:r>
      <w:r w:rsidR="00D82765">
        <w:rPr>
          <w:rFonts w:ascii="Arial" w:hAnsi="Arial" w:cs="Arial"/>
          <w:sz w:val="24"/>
          <w:szCs w:val="24"/>
        </w:rPr>
        <w:t>di riduzione delle emissioni</w:t>
      </w:r>
      <w:r w:rsidR="00F651A6">
        <w:rPr>
          <w:rFonts w:ascii="Arial" w:hAnsi="Arial" w:cs="Arial"/>
          <w:sz w:val="24"/>
          <w:szCs w:val="24"/>
        </w:rPr>
        <w:t xml:space="preserve"> stabiliti nel Regolamento 2018/842 </w:t>
      </w:r>
      <w:r w:rsidR="00986B1B">
        <w:rPr>
          <w:rFonts w:ascii="Arial" w:hAnsi="Arial" w:cs="Arial"/>
          <w:sz w:val="24"/>
          <w:szCs w:val="24"/>
        </w:rPr>
        <w:t xml:space="preserve">e </w:t>
      </w:r>
      <w:r w:rsidR="003D12C5">
        <w:rPr>
          <w:rFonts w:ascii="Arial" w:hAnsi="Arial" w:cs="Arial"/>
          <w:sz w:val="24"/>
          <w:szCs w:val="24"/>
        </w:rPr>
        <w:t>definisce anche la traiettoria di a</w:t>
      </w:r>
      <w:r w:rsidR="00ED6513">
        <w:rPr>
          <w:rFonts w:ascii="Arial" w:hAnsi="Arial" w:cs="Arial"/>
          <w:sz w:val="24"/>
          <w:szCs w:val="24"/>
        </w:rPr>
        <w:t>d</w:t>
      </w:r>
      <w:r w:rsidR="003D12C5">
        <w:rPr>
          <w:rFonts w:ascii="Arial" w:hAnsi="Arial" w:cs="Arial"/>
          <w:sz w:val="24"/>
          <w:szCs w:val="24"/>
        </w:rPr>
        <w:t>eguamento agli obbiettivi che deve essere perseguita durante il decennio 20</w:t>
      </w:r>
      <w:r w:rsidR="00ED6513">
        <w:rPr>
          <w:rFonts w:ascii="Arial" w:hAnsi="Arial" w:cs="Arial"/>
          <w:sz w:val="24"/>
          <w:szCs w:val="24"/>
        </w:rPr>
        <w:t>21-2030</w:t>
      </w:r>
      <w:r w:rsidR="00A10DB2">
        <w:rPr>
          <w:rFonts w:ascii="Arial" w:hAnsi="Arial" w:cs="Arial"/>
          <w:sz w:val="24"/>
          <w:szCs w:val="24"/>
        </w:rPr>
        <w:t xml:space="preserve"> sia per i settori in EU ETS sia per tutti i settori che sono </w:t>
      </w:r>
      <w:r w:rsidR="00403173">
        <w:rPr>
          <w:rFonts w:ascii="Arial" w:hAnsi="Arial" w:cs="Arial"/>
          <w:sz w:val="24"/>
          <w:szCs w:val="24"/>
        </w:rPr>
        <w:t>stati inseriti nell’ESR</w:t>
      </w:r>
      <w:r w:rsidR="00AF0452">
        <w:rPr>
          <w:rStyle w:val="Rimandonotaapidipagina"/>
          <w:rFonts w:ascii="Arial" w:hAnsi="Arial" w:cs="Arial"/>
          <w:sz w:val="24"/>
          <w:szCs w:val="24"/>
        </w:rPr>
        <w:footnoteReference w:id="35"/>
      </w:r>
      <w:r w:rsidR="00403173">
        <w:rPr>
          <w:rFonts w:ascii="Arial" w:hAnsi="Arial" w:cs="Arial"/>
          <w:sz w:val="24"/>
          <w:szCs w:val="24"/>
        </w:rPr>
        <w:t>.</w:t>
      </w:r>
      <w:r w:rsidR="00F8106D">
        <w:rPr>
          <w:rFonts w:ascii="Arial" w:hAnsi="Arial" w:cs="Arial"/>
          <w:sz w:val="24"/>
          <w:szCs w:val="24"/>
        </w:rPr>
        <w:t xml:space="preserve"> </w:t>
      </w:r>
    </w:p>
    <w:p w14:paraId="66C60371" w14:textId="3409A419" w:rsidR="00986B1B" w:rsidRDefault="00B13BEC" w:rsidP="00076117">
      <w:pPr>
        <w:pStyle w:val="Corpotesto"/>
        <w:numPr>
          <w:ilvl w:val="0"/>
          <w:numId w:val="42"/>
        </w:numPr>
        <w:ind w:right="45"/>
        <w:jc w:val="both"/>
        <w:rPr>
          <w:rFonts w:ascii="Arial" w:hAnsi="Arial" w:cs="Arial"/>
          <w:sz w:val="24"/>
          <w:szCs w:val="24"/>
        </w:rPr>
      </w:pPr>
      <w:r>
        <w:rPr>
          <w:rFonts w:ascii="Arial" w:hAnsi="Arial" w:cs="Arial"/>
          <w:sz w:val="24"/>
          <w:szCs w:val="24"/>
        </w:rPr>
        <w:t>è</w:t>
      </w:r>
      <w:r w:rsidR="00A24D4F">
        <w:rPr>
          <w:rFonts w:ascii="Arial" w:hAnsi="Arial" w:cs="Arial"/>
          <w:sz w:val="24"/>
          <w:szCs w:val="24"/>
        </w:rPr>
        <w:t xml:space="preserve"> pos</w:t>
      </w:r>
      <w:r w:rsidR="00796F05">
        <w:rPr>
          <w:rFonts w:ascii="Arial" w:hAnsi="Arial" w:cs="Arial"/>
          <w:sz w:val="24"/>
          <w:szCs w:val="24"/>
        </w:rPr>
        <w:t xml:space="preserve">sibile creare, sotto certe condizioni, dei meccanismi di scambio </w:t>
      </w:r>
      <w:r w:rsidR="00D71CD9">
        <w:rPr>
          <w:rFonts w:ascii="Arial" w:hAnsi="Arial" w:cs="Arial"/>
          <w:sz w:val="24"/>
          <w:szCs w:val="24"/>
        </w:rPr>
        <w:t xml:space="preserve">delle quote di CO2 </w:t>
      </w:r>
      <w:r w:rsidR="00C55F8D">
        <w:rPr>
          <w:rFonts w:ascii="Arial" w:hAnsi="Arial" w:cs="Arial"/>
          <w:sz w:val="24"/>
          <w:szCs w:val="24"/>
        </w:rPr>
        <w:t>tra SM, con un principio simile a quello dell’EU ETS</w:t>
      </w:r>
      <w:r>
        <w:rPr>
          <w:rFonts w:ascii="Arial" w:hAnsi="Arial" w:cs="Arial"/>
          <w:sz w:val="24"/>
          <w:szCs w:val="24"/>
        </w:rPr>
        <w:t xml:space="preserve">. </w:t>
      </w:r>
    </w:p>
    <w:p w14:paraId="71812645" w14:textId="02A62460" w:rsidR="00B13BEC" w:rsidRDefault="00B13BEC" w:rsidP="00F33F73">
      <w:pPr>
        <w:pStyle w:val="Corpotesto"/>
        <w:ind w:right="45" w:firstLine="567"/>
        <w:jc w:val="both"/>
        <w:rPr>
          <w:rFonts w:ascii="Arial" w:hAnsi="Arial" w:cs="Arial"/>
          <w:sz w:val="24"/>
          <w:szCs w:val="24"/>
        </w:rPr>
      </w:pPr>
    </w:p>
    <w:p w14:paraId="7E3221D2" w14:textId="469CD1AD" w:rsidR="00797600" w:rsidRDefault="005C6D62" w:rsidP="00F33F73">
      <w:pPr>
        <w:pStyle w:val="Corpotesto"/>
        <w:ind w:right="45" w:firstLine="567"/>
        <w:jc w:val="both"/>
        <w:rPr>
          <w:rFonts w:ascii="Arial" w:hAnsi="Arial" w:cs="Arial"/>
          <w:sz w:val="24"/>
          <w:szCs w:val="24"/>
        </w:rPr>
      </w:pPr>
      <w:r>
        <w:rPr>
          <w:rFonts w:ascii="Arial" w:hAnsi="Arial" w:cs="Arial"/>
          <w:sz w:val="24"/>
          <w:szCs w:val="24"/>
        </w:rPr>
        <w:t xml:space="preserve">Quindi l’elemento cardine del Regolamento 2018/842 è quello di istituire un </w:t>
      </w:r>
      <w:r w:rsidR="00966F1E" w:rsidRPr="00C57951">
        <w:rPr>
          <w:rFonts w:ascii="Arial" w:hAnsi="Arial" w:cs="Arial"/>
          <w:i/>
          <w:iCs/>
          <w:sz w:val="24"/>
          <w:szCs w:val="24"/>
        </w:rPr>
        <w:t>mercato delle quote di CO</w:t>
      </w:r>
      <w:r w:rsidR="00966F1E" w:rsidRPr="00423453">
        <w:rPr>
          <w:rFonts w:ascii="Arial" w:hAnsi="Arial" w:cs="Arial"/>
          <w:i/>
          <w:iCs/>
          <w:sz w:val="24"/>
          <w:szCs w:val="24"/>
          <w:vertAlign w:val="subscript"/>
        </w:rPr>
        <w:t>2</w:t>
      </w:r>
      <w:r w:rsidR="00966F1E" w:rsidRPr="00C57951">
        <w:rPr>
          <w:rFonts w:ascii="Arial" w:hAnsi="Arial" w:cs="Arial"/>
          <w:i/>
          <w:iCs/>
          <w:sz w:val="24"/>
          <w:szCs w:val="24"/>
        </w:rPr>
        <w:t xml:space="preserve"> tra</w:t>
      </w:r>
      <w:r w:rsidR="00902759" w:rsidRPr="00C57951">
        <w:rPr>
          <w:rFonts w:ascii="Arial" w:hAnsi="Arial" w:cs="Arial"/>
          <w:i/>
          <w:iCs/>
          <w:sz w:val="24"/>
          <w:szCs w:val="24"/>
        </w:rPr>
        <w:t xml:space="preserve"> gli Stati membri dell’Unione</w:t>
      </w:r>
      <w:r w:rsidR="00966F1E">
        <w:rPr>
          <w:rFonts w:ascii="Arial" w:hAnsi="Arial" w:cs="Arial"/>
          <w:sz w:val="24"/>
          <w:szCs w:val="24"/>
        </w:rPr>
        <w:t xml:space="preserve">. </w:t>
      </w:r>
      <w:r w:rsidR="003A43FC">
        <w:rPr>
          <w:rFonts w:ascii="Arial" w:hAnsi="Arial" w:cs="Arial"/>
          <w:sz w:val="24"/>
          <w:szCs w:val="24"/>
        </w:rPr>
        <w:t>Ogni SM ha una certa quota di Emissioni di partenza</w:t>
      </w:r>
      <w:r w:rsidR="002F263C">
        <w:rPr>
          <w:rFonts w:ascii="Arial" w:hAnsi="Arial" w:cs="Arial"/>
          <w:sz w:val="24"/>
          <w:szCs w:val="24"/>
        </w:rPr>
        <w:t xml:space="preserve"> e ha un obbiettivo di riduzione da raggiungere </w:t>
      </w:r>
      <w:r w:rsidR="00601C96">
        <w:rPr>
          <w:rFonts w:ascii="Arial" w:hAnsi="Arial" w:cs="Arial"/>
          <w:sz w:val="24"/>
          <w:szCs w:val="24"/>
        </w:rPr>
        <w:t xml:space="preserve">entro il 2030. </w:t>
      </w:r>
      <w:r w:rsidR="0004402A">
        <w:rPr>
          <w:rFonts w:ascii="Arial" w:hAnsi="Arial" w:cs="Arial"/>
          <w:sz w:val="24"/>
          <w:szCs w:val="24"/>
        </w:rPr>
        <w:t>Questo obbiettivo di riduzione può essere conseguito in diversi modi: efficientamento energetico</w:t>
      </w:r>
      <w:r w:rsidR="00FA11DF">
        <w:rPr>
          <w:rStyle w:val="Rimandonotaapidipagina"/>
          <w:rFonts w:ascii="Arial" w:hAnsi="Arial" w:cs="Arial"/>
          <w:sz w:val="24"/>
          <w:szCs w:val="24"/>
        </w:rPr>
        <w:footnoteReference w:id="36"/>
      </w:r>
      <w:r w:rsidR="007E6951">
        <w:rPr>
          <w:rFonts w:ascii="Arial" w:hAnsi="Arial" w:cs="Arial"/>
          <w:sz w:val="24"/>
          <w:szCs w:val="24"/>
        </w:rPr>
        <w:t>, incremento della quota di energie da fonti rinnovabili e altri processi</w:t>
      </w:r>
      <w:r w:rsidR="005F2D6B">
        <w:rPr>
          <w:rFonts w:ascii="Arial" w:hAnsi="Arial" w:cs="Arial"/>
          <w:sz w:val="24"/>
          <w:szCs w:val="24"/>
        </w:rPr>
        <w:t xml:space="preserve">. </w:t>
      </w:r>
      <w:r w:rsidR="000A7D02">
        <w:rPr>
          <w:rFonts w:ascii="Arial" w:hAnsi="Arial" w:cs="Arial"/>
          <w:sz w:val="24"/>
          <w:szCs w:val="24"/>
        </w:rPr>
        <w:t xml:space="preserve">Lo scambio delle quote dell’ESR </w:t>
      </w:r>
      <w:r w:rsidR="007C2C48">
        <w:rPr>
          <w:rFonts w:ascii="Arial" w:hAnsi="Arial" w:cs="Arial"/>
          <w:sz w:val="24"/>
          <w:szCs w:val="24"/>
        </w:rPr>
        <w:t>ha una logica simile all’ETS</w:t>
      </w:r>
      <w:r w:rsidR="000532D0">
        <w:rPr>
          <w:rFonts w:ascii="Arial" w:hAnsi="Arial" w:cs="Arial"/>
          <w:sz w:val="24"/>
          <w:szCs w:val="24"/>
        </w:rPr>
        <w:t xml:space="preserve"> </w:t>
      </w:r>
      <w:r w:rsidR="00C84DBC">
        <w:rPr>
          <w:rFonts w:ascii="Arial" w:hAnsi="Arial" w:cs="Arial"/>
          <w:sz w:val="24"/>
          <w:szCs w:val="24"/>
        </w:rPr>
        <w:t xml:space="preserve">per alcuni aspetti (Registro unico, quote da ridurre, etc.) ma non </w:t>
      </w:r>
      <w:r w:rsidR="006A2EE1">
        <w:rPr>
          <w:rFonts w:ascii="Arial" w:hAnsi="Arial" w:cs="Arial"/>
          <w:sz w:val="24"/>
          <w:szCs w:val="24"/>
        </w:rPr>
        <w:t xml:space="preserve">ha la logica competitiva dell’EU ETS per le imprese. </w:t>
      </w:r>
      <w:r w:rsidR="003126AF">
        <w:rPr>
          <w:rFonts w:ascii="Arial" w:hAnsi="Arial" w:cs="Arial"/>
          <w:sz w:val="24"/>
          <w:szCs w:val="24"/>
        </w:rPr>
        <w:t>È</w:t>
      </w:r>
      <w:r w:rsidR="006A2EE1">
        <w:rPr>
          <w:rFonts w:ascii="Arial" w:hAnsi="Arial" w:cs="Arial"/>
          <w:sz w:val="24"/>
          <w:szCs w:val="24"/>
        </w:rPr>
        <w:t xml:space="preserve"> più un meccanismo con il quale </w:t>
      </w:r>
      <w:r w:rsidR="00686436">
        <w:rPr>
          <w:rFonts w:ascii="Arial" w:hAnsi="Arial" w:cs="Arial"/>
          <w:sz w:val="24"/>
          <w:szCs w:val="24"/>
        </w:rPr>
        <w:t xml:space="preserve">ogni SM </w:t>
      </w:r>
      <w:proofErr w:type="gramStart"/>
      <w:r w:rsidR="00686436">
        <w:rPr>
          <w:rFonts w:ascii="Arial" w:hAnsi="Arial" w:cs="Arial"/>
          <w:sz w:val="24"/>
          <w:szCs w:val="24"/>
        </w:rPr>
        <w:t>è</w:t>
      </w:r>
      <w:proofErr w:type="gramEnd"/>
      <w:r w:rsidR="00686436">
        <w:rPr>
          <w:rFonts w:ascii="Arial" w:hAnsi="Arial" w:cs="Arial"/>
          <w:sz w:val="24"/>
          <w:szCs w:val="24"/>
        </w:rPr>
        <w:t xml:space="preserve"> incentivano a trovare soluzioni di riduzione delle emissioni attraverso politiche e norme</w:t>
      </w:r>
      <w:r w:rsidR="00D15A70">
        <w:rPr>
          <w:rFonts w:ascii="Arial" w:hAnsi="Arial" w:cs="Arial"/>
          <w:sz w:val="24"/>
          <w:szCs w:val="24"/>
        </w:rPr>
        <w:t>.</w:t>
      </w:r>
      <w:r w:rsidR="00714A93">
        <w:rPr>
          <w:rFonts w:ascii="Arial" w:hAnsi="Arial" w:cs="Arial"/>
          <w:sz w:val="24"/>
          <w:szCs w:val="24"/>
        </w:rPr>
        <w:t xml:space="preserve"> Non a caso </w:t>
      </w:r>
      <w:r w:rsidR="00260841">
        <w:rPr>
          <w:rFonts w:ascii="Arial" w:hAnsi="Arial" w:cs="Arial"/>
          <w:sz w:val="24"/>
          <w:szCs w:val="24"/>
        </w:rPr>
        <w:t>il ragionamento viene fatto per settori e non per singole imprese obbligate alla partecipazione ad un mercato</w:t>
      </w:r>
      <w:r w:rsidR="00E70730">
        <w:rPr>
          <w:rFonts w:ascii="Arial" w:hAnsi="Arial" w:cs="Arial"/>
          <w:sz w:val="24"/>
          <w:szCs w:val="24"/>
        </w:rPr>
        <w:t>, come EU ETS.</w:t>
      </w:r>
      <w:r w:rsidR="00D15A70">
        <w:rPr>
          <w:rFonts w:ascii="Arial" w:hAnsi="Arial" w:cs="Arial"/>
          <w:sz w:val="24"/>
          <w:szCs w:val="24"/>
        </w:rPr>
        <w:t xml:space="preserve"> Ciò non toglie che gli obbiettivi da raggiungere siano vincolanti e </w:t>
      </w:r>
      <w:r w:rsidR="00942BEE">
        <w:rPr>
          <w:rFonts w:ascii="Arial" w:hAnsi="Arial" w:cs="Arial"/>
          <w:sz w:val="24"/>
          <w:szCs w:val="24"/>
        </w:rPr>
        <w:t xml:space="preserve">se non vengono raggiunti vi sono delle sanzioni che </w:t>
      </w:r>
      <w:r w:rsidR="00FF0C60">
        <w:rPr>
          <w:rFonts w:ascii="Arial" w:hAnsi="Arial" w:cs="Arial"/>
          <w:sz w:val="24"/>
          <w:szCs w:val="24"/>
        </w:rPr>
        <w:t xml:space="preserve">inevitabilmente </w:t>
      </w:r>
      <w:r w:rsidR="00E66853">
        <w:rPr>
          <w:rFonts w:ascii="Arial" w:hAnsi="Arial" w:cs="Arial"/>
          <w:sz w:val="24"/>
          <w:szCs w:val="24"/>
        </w:rPr>
        <w:t xml:space="preserve">vanno ad incidere sulla sua situazione debitoria e quindi sui suoi cittadini. </w:t>
      </w:r>
    </w:p>
    <w:p w14:paraId="7503FA51" w14:textId="18634E49" w:rsidR="000A2E77" w:rsidRDefault="006B2380" w:rsidP="00F33F73">
      <w:pPr>
        <w:pStyle w:val="Corpotesto"/>
        <w:ind w:right="45" w:firstLine="567"/>
        <w:jc w:val="both"/>
        <w:rPr>
          <w:rFonts w:ascii="Arial" w:hAnsi="Arial" w:cs="Arial"/>
          <w:sz w:val="24"/>
          <w:szCs w:val="24"/>
        </w:rPr>
      </w:pPr>
      <w:r>
        <w:rPr>
          <w:rFonts w:ascii="Arial" w:hAnsi="Arial" w:cs="Arial"/>
          <w:sz w:val="24"/>
          <w:szCs w:val="24"/>
        </w:rPr>
        <w:t>All’interno del Regolamento si r</w:t>
      </w:r>
      <w:r w:rsidR="00CF7987">
        <w:rPr>
          <w:rFonts w:ascii="Arial" w:hAnsi="Arial" w:cs="Arial"/>
          <w:sz w:val="24"/>
          <w:szCs w:val="24"/>
        </w:rPr>
        <w:t>ibadisce l’importanza del settore agricolo e forestale per le attività sul clima (Premessa 11) e</w:t>
      </w:r>
      <w:r w:rsidR="00F47D8A">
        <w:rPr>
          <w:rFonts w:ascii="Arial" w:hAnsi="Arial" w:cs="Arial"/>
          <w:sz w:val="24"/>
          <w:szCs w:val="24"/>
        </w:rPr>
        <w:t xml:space="preserve"> indica che il settore LULUCF</w:t>
      </w:r>
      <w:r w:rsidR="001233B4">
        <w:rPr>
          <w:rFonts w:ascii="Arial" w:hAnsi="Arial" w:cs="Arial"/>
          <w:sz w:val="24"/>
          <w:szCs w:val="24"/>
        </w:rPr>
        <w:t>, pur non essendo oggetto diretto di questo Regolamento</w:t>
      </w:r>
      <w:r w:rsidR="001157EB">
        <w:rPr>
          <w:rFonts w:ascii="Arial" w:hAnsi="Arial" w:cs="Arial"/>
          <w:sz w:val="24"/>
          <w:szCs w:val="24"/>
        </w:rPr>
        <w:t xml:space="preserve"> (in quanto oggetto del Reg. 841)</w:t>
      </w:r>
      <w:r w:rsidR="001233B4">
        <w:rPr>
          <w:rFonts w:ascii="Arial" w:hAnsi="Arial" w:cs="Arial"/>
          <w:sz w:val="24"/>
          <w:szCs w:val="24"/>
        </w:rPr>
        <w:t xml:space="preserve">, </w:t>
      </w:r>
      <w:r w:rsidR="00411BF7">
        <w:rPr>
          <w:rFonts w:ascii="Arial" w:hAnsi="Arial" w:cs="Arial"/>
          <w:sz w:val="24"/>
          <w:szCs w:val="24"/>
        </w:rPr>
        <w:t xml:space="preserve">è un </w:t>
      </w:r>
      <w:r w:rsidR="003823C1">
        <w:rPr>
          <w:rFonts w:ascii="Arial" w:hAnsi="Arial" w:cs="Arial"/>
          <w:sz w:val="24"/>
          <w:szCs w:val="24"/>
        </w:rPr>
        <w:t xml:space="preserve">settore essenziale per il raggiungimento degli obbiettivi </w:t>
      </w:r>
      <w:r w:rsidR="005D68BC">
        <w:rPr>
          <w:rFonts w:ascii="Arial" w:hAnsi="Arial" w:cs="Arial"/>
          <w:sz w:val="24"/>
          <w:szCs w:val="24"/>
        </w:rPr>
        <w:t xml:space="preserve">di riduzione delle emissioni e si specifica anche che </w:t>
      </w:r>
      <w:r w:rsidR="00536458">
        <w:rPr>
          <w:rFonts w:ascii="Arial" w:hAnsi="Arial" w:cs="Arial"/>
          <w:sz w:val="24"/>
          <w:szCs w:val="24"/>
        </w:rPr>
        <w:t xml:space="preserve">il suo contributo può rientrare direttamente </w:t>
      </w:r>
      <w:r w:rsidR="0036782B">
        <w:rPr>
          <w:rFonts w:ascii="Arial" w:hAnsi="Arial" w:cs="Arial"/>
          <w:sz w:val="24"/>
          <w:szCs w:val="24"/>
        </w:rPr>
        <w:t xml:space="preserve">nella contabilizzazione di ogni </w:t>
      </w:r>
      <w:r w:rsidR="0036782B">
        <w:rPr>
          <w:rFonts w:ascii="Arial" w:hAnsi="Arial" w:cs="Arial"/>
          <w:sz w:val="24"/>
          <w:szCs w:val="24"/>
        </w:rPr>
        <w:lastRenderedPageBreak/>
        <w:t>singolo SM sotto certe conduzioni e con un limite preciso (</w:t>
      </w:r>
      <w:r w:rsidR="00E77123">
        <w:rPr>
          <w:rFonts w:ascii="Arial" w:hAnsi="Arial" w:cs="Arial"/>
          <w:sz w:val="24"/>
          <w:szCs w:val="24"/>
        </w:rPr>
        <w:t>P</w:t>
      </w:r>
      <w:r w:rsidR="0036782B">
        <w:rPr>
          <w:rFonts w:ascii="Arial" w:hAnsi="Arial" w:cs="Arial"/>
          <w:sz w:val="24"/>
          <w:szCs w:val="24"/>
        </w:rPr>
        <w:t>remess</w:t>
      </w:r>
      <w:r w:rsidR="001D5F68">
        <w:rPr>
          <w:rFonts w:ascii="Arial" w:hAnsi="Arial" w:cs="Arial"/>
          <w:sz w:val="24"/>
          <w:szCs w:val="24"/>
        </w:rPr>
        <w:t xml:space="preserve">a 22). Per questo motivo </w:t>
      </w:r>
      <w:r w:rsidR="00636D3F">
        <w:rPr>
          <w:rFonts w:ascii="Arial" w:hAnsi="Arial" w:cs="Arial"/>
          <w:sz w:val="24"/>
          <w:szCs w:val="24"/>
        </w:rPr>
        <w:t xml:space="preserve">si specifica anche che la contabilità del settore LULUCF dovrà essere integrata </w:t>
      </w:r>
      <w:r w:rsidR="001969C5">
        <w:rPr>
          <w:rFonts w:ascii="Arial" w:hAnsi="Arial" w:cs="Arial"/>
          <w:sz w:val="24"/>
          <w:szCs w:val="24"/>
        </w:rPr>
        <w:t xml:space="preserve">negli Inventari Nazionali sui gas GHG previsti dal Regolamento 525/2013 e che </w:t>
      </w:r>
      <w:r w:rsidR="00113B84">
        <w:rPr>
          <w:rFonts w:ascii="Arial" w:hAnsi="Arial" w:cs="Arial"/>
          <w:sz w:val="24"/>
          <w:szCs w:val="24"/>
        </w:rPr>
        <w:t xml:space="preserve">dovrà essere previsto un approccio più ampio e integrato in un Regolamento futuro, il 1999/2018 che uscirà </w:t>
      </w:r>
      <w:r w:rsidR="00E77123">
        <w:rPr>
          <w:rFonts w:ascii="Arial" w:hAnsi="Arial" w:cs="Arial"/>
          <w:sz w:val="24"/>
          <w:szCs w:val="24"/>
        </w:rPr>
        <w:t xml:space="preserve">sei mesi dopo (Premesse 23 e 27). </w:t>
      </w:r>
    </w:p>
    <w:p w14:paraId="34A6DCAE" w14:textId="39168041" w:rsidR="000A2E77" w:rsidRDefault="00B0753F" w:rsidP="00957F91">
      <w:pPr>
        <w:pStyle w:val="Corpotesto"/>
        <w:ind w:right="45" w:firstLine="567"/>
        <w:jc w:val="both"/>
        <w:rPr>
          <w:rFonts w:ascii="Arial" w:hAnsi="Arial" w:cs="Arial"/>
          <w:sz w:val="24"/>
          <w:szCs w:val="24"/>
        </w:rPr>
      </w:pPr>
      <w:r>
        <w:rPr>
          <w:rFonts w:ascii="Arial" w:hAnsi="Arial" w:cs="Arial"/>
          <w:sz w:val="24"/>
          <w:szCs w:val="24"/>
        </w:rPr>
        <w:t xml:space="preserve">Il cardine </w:t>
      </w:r>
      <w:r w:rsidR="00E14984">
        <w:rPr>
          <w:rFonts w:ascii="Arial" w:hAnsi="Arial" w:cs="Arial"/>
          <w:sz w:val="24"/>
          <w:szCs w:val="24"/>
        </w:rPr>
        <w:t xml:space="preserve">del raccordo tra gli obbiettivi sul clima specificati nell’842 e </w:t>
      </w:r>
      <w:r w:rsidR="006610D7">
        <w:rPr>
          <w:rFonts w:ascii="Arial" w:hAnsi="Arial" w:cs="Arial"/>
          <w:sz w:val="24"/>
          <w:szCs w:val="24"/>
        </w:rPr>
        <w:t>il settore LULUCF è l’articolo 7</w:t>
      </w:r>
      <w:r w:rsidR="00681316">
        <w:rPr>
          <w:rFonts w:ascii="Arial" w:hAnsi="Arial" w:cs="Arial"/>
          <w:sz w:val="24"/>
          <w:szCs w:val="24"/>
        </w:rPr>
        <w:t xml:space="preserve">. In questo articolo si </w:t>
      </w:r>
      <w:r w:rsidR="00E27000">
        <w:rPr>
          <w:rFonts w:ascii="Arial" w:hAnsi="Arial" w:cs="Arial"/>
          <w:sz w:val="24"/>
          <w:szCs w:val="24"/>
        </w:rPr>
        <w:t xml:space="preserve">specifica che </w:t>
      </w:r>
      <w:r w:rsidR="00411F9E">
        <w:rPr>
          <w:rFonts w:ascii="Arial" w:hAnsi="Arial" w:cs="Arial"/>
          <w:sz w:val="24"/>
          <w:szCs w:val="24"/>
        </w:rPr>
        <w:t>qualora uno SM superi le quote annue stabilite</w:t>
      </w:r>
      <w:r w:rsidR="00715C8A">
        <w:rPr>
          <w:rFonts w:ascii="Arial" w:hAnsi="Arial" w:cs="Arial"/>
          <w:sz w:val="24"/>
          <w:szCs w:val="24"/>
        </w:rPr>
        <w:t xml:space="preserve"> di emissioni</w:t>
      </w:r>
      <w:r w:rsidR="001B7F5D">
        <w:rPr>
          <w:rFonts w:ascii="Arial" w:hAnsi="Arial" w:cs="Arial"/>
          <w:sz w:val="24"/>
          <w:szCs w:val="24"/>
        </w:rPr>
        <w:t xml:space="preserve"> nei settori ESR</w:t>
      </w:r>
      <w:r w:rsidR="00715C8A">
        <w:rPr>
          <w:rFonts w:ascii="Arial" w:hAnsi="Arial" w:cs="Arial"/>
          <w:sz w:val="24"/>
          <w:szCs w:val="24"/>
        </w:rPr>
        <w:t xml:space="preserve">, </w:t>
      </w:r>
      <w:r w:rsidR="00715C8A" w:rsidRPr="003A5DC5">
        <w:rPr>
          <w:rFonts w:ascii="Arial" w:hAnsi="Arial" w:cs="Arial"/>
          <w:i/>
          <w:iCs/>
          <w:sz w:val="24"/>
          <w:szCs w:val="24"/>
        </w:rPr>
        <w:t xml:space="preserve">è possibile utilizzare </w:t>
      </w:r>
      <w:r w:rsidR="00E52CBE" w:rsidRPr="003A5DC5">
        <w:rPr>
          <w:rFonts w:ascii="Arial" w:hAnsi="Arial" w:cs="Arial"/>
          <w:i/>
          <w:iCs/>
          <w:sz w:val="24"/>
          <w:szCs w:val="24"/>
        </w:rPr>
        <w:t xml:space="preserve">come </w:t>
      </w:r>
      <w:r w:rsidR="003A5DC5" w:rsidRPr="003A5DC5">
        <w:rPr>
          <w:rFonts w:ascii="Arial" w:hAnsi="Arial" w:cs="Arial"/>
          <w:i/>
          <w:iCs/>
          <w:sz w:val="24"/>
          <w:szCs w:val="24"/>
        </w:rPr>
        <w:t xml:space="preserve">compensazione </w:t>
      </w:r>
      <w:r w:rsidR="00FB6107" w:rsidRPr="003A5DC5">
        <w:rPr>
          <w:rFonts w:ascii="Arial" w:hAnsi="Arial" w:cs="Arial"/>
          <w:i/>
          <w:iCs/>
          <w:sz w:val="24"/>
          <w:szCs w:val="24"/>
        </w:rPr>
        <w:t xml:space="preserve">per l’anno in questione </w:t>
      </w:r>
      <w:r w:rsidR="00CF71F2" w:rsidRPr="003A5DC5">
        <w:rPr>
          <w:rFonts w:ascii="Arial" w:hAnsi="Arial" w:cs="Arial"/>
          <w:i/>
          <w:iCs/>
          <w:sz w:val="24"/>
          <w:szCs w:val="24"/>
        </w:rPr>
        <w:t>un</w:t>
      </w:r>
      <w:r w:rsidR="00957F91" w:rsidRPr="003A5DC5">
        <w:rPr>
          <w:rFonts w:ascii="Arial" w:hAnsi="Arial" w:cs="Arial"/>
          <w:i/>
          <w:iCs/>
          <w:sz w:val="24"/>
          <w:szCs w:val="24"/>
        </w:rPr>
        <w:t>a</w:t>
      </w:r>
      <w:r w:rsidR="00CF71F2" w:rsidRPr="003A5DC5">
        <w:rPr>
          <w:rFonts w:ascii="Arial" w:hAnsi="Arial" w:cs="Arial"/>
          <w:i/>
          <w:iCs/>
          <w:sz w:val="24"/>
          <w:szCs w:val="24"/>
        </w:rPr>
        <w:t xml:space="preserve"> quantità </w:t>
      </w:r>
      <w:r w:rsidR="00CF4C9A" w:rsidRPr="003A5DC5">
        <w:rPr>
          <w:rFonts w:ascii="Arial" w:hAnsi="Arial" w:cs="Arial"/>
          <w:i/>
          <w:iCs/>
          <w:sz w:val="24"/>
          <w:szCs w:val="24"/>
        </w:rPr>
        <w:t xml:space="preserve">pari agli assorbimenti </w:t>
      </w:r>
      <w:r w:rsidR="00BE418A" w:rsidRPr="003A5DC5">
        <w:rPr>
          <w:rFonts w:ascii="Arial" w:hAnsi="Arial" w:cs="Arial"/>
          <w:i/>
          <w:iCs/>
          <w:sz w:val="24"/>
          <w:szCs w:val="24"/>
        </w:rPr>
        <w:t xml:space="preserve">netti totali </w:t>
      </w:r>
      <w:r w:rsidR="00EE3CD1" w:rsidRPr="003A5DC5">
        <w:rPr>
          <w:rFonts w:ascii="Arial" w:hAnsi="Arial" w:cs="Arial"/>
          <w:i/>
          <w:iCs/>
          <w:sz w:val="24"/>
          <w:szCs w:val="24"/>
        </w:rPr>
        <w:t xml:space="preserve">dai settori </w:t>
      </w:r>
      <w:r w:rsidR="00206E65" w:rsidRPr="003A5DC5">
        <w:rPr>
          <w:rFonts w:ascii="Arial" w:hAnsi="Arial" w:cs="Arial"/>
          <w:i/>
          <w:iCs/>
          <w:sz w:val="24"/>
          <w:szCs w:val="24"/>
        </w:rPr>
        <w:t>indicati ne</w:t>
      </w:r>
      <w:r w:rsidR="00D9590C" w:rsidRPr="003A5DC5">
        <w:rPr>
          <w:rFonts w:ascii="Arial" w:hAnsi="Arial" w:cs="Arial"/>
          <w:i/>
          <w:iCs/>
          <w:sz w:val="24"/>
          <w:szCs w:val="24"/>
        </w:rPr>
        <w:t>l Regolamento 841/2013</w:t>
      </w:r>
      <w:r w:rsidR="00D9590C">
        <w:rPr>
          <w:rFonts w:ascii="Arial" w:hAnsi="Arial" w:cs="Arial"/>
          <w:sz w:val="24"/>
          <w:szCs w:val="24"/>
        </w:rPr>
        <w:t xml:space="preserve"> (Art. 2, comma 1), </w:t>
      </w:r>
      <w:r w:rsidR="00957F91">
        <w:rPr>
          <w:rFonts w:ascii="Arial" w:hAnsi="Arial" w:cs="Arial"/>
          <w:sz w:val="24"/>
          <w:szCs w:val="24"/>
        </w:rPr>
        <w:t>sotto le seguenti condizioni:</w:t>
      </w:r>
    </w:p>
    <w:p w14:paraId="3A47951F" w14:textId="5D981E80" w:rsidR="00DC5F5E" w:rsidRPr="007F732B" w:rsidRDefault="00DC5F5E" w:rsidP="00076117">
      <w:pPr>
        <w:pStyle w:val="Paragrafoelenco"/>
        <w:widowControl/>
        <w:numPr>
          <w:ilvl w:val="0"/>
          <w:numId w:val="14"/>
        </w:numPr>
        <w:adjustRightInd w:val="0"/>
        <w:jc w:val="both"/>
        <w:rPr>
          <w:rFonts w:ascii="Arial" w:eastAsiaTheme="minorHAnsi" w:hAnsi="Arial" w:cs="Arial"/>
          <w:sz w:val="24"/>
          <w:szCs w:val="24"/>
        </w:rPr>
      </w:pPr>
      <w:r w:rsidRPr="007F732B">
        <w:rPr>
          <w:rFonts w:ascii="Arial" w:eastAsiaTheme="minorHAnsi" w:hAnsi="Arial" w:cs="Arial"/>
          <w:sz w:val="24"/>
          <w:szCs w:val="24"/>
        </w:rPr>
        <w:t>la quantità cumulativa considerata per lo Stato membro per tutti gli anni del periodo compreso tra il 2021 e il 2030</w:t>
      </w:r>
      <w:r w:rsidR="007F732B" w:rsidRPr="007F732B">
        <w:rPr>
          <w:rFonts w:ascii="Arial" w:eastAsiaTheme="minorHAnsi" w:hAnsi="Arial" w:cs="Arial"/>
          <w:sz w:val="24"/>
          <w:szCs w:val="24"/>
        </w:rPr>
        <w:t xml:space="preserve"> </w:t>
      </w:r>
      <w:r w:rsidRPr="007F732B">
        <w:rPr>
          <w:rFonts w:ascii="Arial" w:eastAsiaTheme="minorHAnsi" w:hAnsi="Arial" w:cs="Arial"/>
          <w:sz w:val="24"/>
          <w:szCs w:val="24"/>
        </w:rPr>
        <w:t>non superi la quantità massima degli assorbimenti totali netti di cui all’allegato III del presente regolamento per tale</w:t>
      </w:r>
      <w:r w:rsidR="007F732B" w:rsidRPr="007F732B">
        <w:rPr>
          <w:rFonts w:ascii="Arial" w:eastAsiaTheme="minorHAnsi" w:hAnsi="Arial" w:cs="Arial"/>
          <w:sz w:val="24"/>
          <w:szCs w:val="24"/>
        </w:rPr>
        <w:t xml:space="preserve"> </w:t>
      </w:r>
      <w:r w:rsidRPr="007F732B">
        <w:rPr>
          <w:rFonts w:ascii="Arial" w:eastAsiaTheme="minorHAnsi" w:hAnsi="Arial" w:cs="Arial"/>
          <w:sz w:val="24"/>
          <w:szCs w:val="24"/>
        </w:rPr>
        <w:t>Stato membro;</w:t>
      </w:r>
    </w:p>
    <w:p w14:paraId="51358333" w14:textId="0358DAD6" w:rsidR="00DC5F5E" w:rsidRPr="007F732B" w:rsidRDefault="00DC5F5E" w:rsidP="00076117">
      <w:pPr>
        <w:pStyle w:val="Paragrafoelenco"/>
        <w:widowControl/>
        <w:numPr>
          <w:ilvl w:val="0"/>
          <w:numId w:val="14"/>
        </w:numPr>
        <w:adjustRightInd w:val="0"/>
        <w:jc w:val="both"/>
        <w:rPr>
          <w:rFonts w:ascii="Arial" w:eastAsiaTheme="minorHAnsi" w:hAnsi="Arial" w:cs="Arial"/>
          <w:sz w:val="24"/>
          <w:szCs w:val="24"/>
        </w:rPr>
      </w:pPr>
      <w:r w:rsidRPr="007F732B">
        <w:rPr>
          <w:rFonts w:ascii="Arial" w:eastAsiaTheme="minorHAnsi" w:hAnsi="Arial" w:cs="Arial"/>
          <w:sz w:val="24"/>
          <w:szCs w:val="24"/>
        </w:rPr>
        <w:t>tale quantità sia eccedentaria rispetto agli obblighi dello Stato membro a norma dell’articolo 4 del regolamento (UE)</w:t>
      </w:r>
      <w:r w:rsidR="007F732B" w:rsidRPr="007F732B">
        <w:rPr>
          <w:rFonts w:ascii="Arial" w:eastAsiaTheme="minorHAnsi" w:hAnsi="Arial" w:cs="Arial"/>
          <w:sz w:val="24"/>
          <w:szCs w:val="24"/>
        </w:rPr>
        <w:t xml:space="preserve"> </w:t>
      </w:r>
      <w:r w:rsidRPr="007F732B">
        <w:rPr>
          <w:rFonts w:ascii="Arial" w:eastAsiaTheme="minorHAnsi" w:hAnsi="Arial" w:cs="Arial"/>
          <w:sz w:val="24"/>
          <w:szCs w:val="24"/>
        </w:rPr>
        <w:t>2018/841;</w:t>
      </w:r>
    </w:p>
    <w:p w14:paraId="008AEB57" w14:textId="2FCF7AEE" w:rsidR="00DC5F5E" w:rsidRPr="007F732B" w:rsidRDefault="00DC5F5E" w:rsidP="00076117">
      <w:pPr>
        <w:pStyle w:val="Paragrafoelenco"/>
        <w:widowControl/>
        <w:numPr>
          <w:ilvl w:val="0"/>
          <w:numId w:val="14"/>
        </w:numPr>
        <w:adjustRightInd w:val="0"/>
        <w:jc w:val="both"/>
        <w:rPr>
          <w:rFonts w:ascii="Arial" w:eastAsiaTheme="minorHAnsi" w:hAnsi="Arial" w:cs="Arial"/>
          <w:sz w:val="24"/>
          <w:szCs w:val="24"/>
        </w:rPr>
      </w:pPr>
      <w:r w:rsidRPr="007F732B">
        <w:rPr>
          <w:rFonts w:ascii="Arial" w:eastAsiaTheme="minorHAnsi" w:hAnsi="Arial" w:cs="Arial"/>
          <w:sz w:val="24"/>
          <w:szCs w:val="24"/>
        </w:rPr>
        <w:t>lo Stato membro non abbia acquisito da altri Stati membri più assorbimenti netti a norma del regolamento (UE)</w:t>
      </w:r>
      <w:r w:rsidR="007F732B" w:rsidRPr="007F732B">
        <w:rPr>
          <w:rFonts w:ascii="Arial" w:eastAsiaTheme="minorHAnsi" w:hAnsi="Arial" w:cs="Arial"/>
          <w:sz w:val="24"/>
          <w:szCs w:val="24"/>
        </w:rPr>
        <w:t xml:space="preserve"> </w:t>
      </w:r>
      <w:r w:rsidRPr="007F732B">
        <w:rPr>
          <w:rFonts w:ascii="Arial" w:eastAsiaTheme="minorHAnsi" w:hAnsi="Arial" w:cs="Arial"/>
          <w:sz w:val="24"/>
          <w:szCs w:val="24"/>
        </w:rPr>
        <w:t>2018/841 di quelli che ha trasferito;</w:t>
      </w:r>
    </w:p>
    <w:p w14:paraId="7C9A100D" w14:textId="77777777" w:rsidR="003A285F" w:rsidRPr="003A285F" w:rsidRDefault="00DC5F5E" w:rsidP="00076117">
      <w:pPr>
        <w:pStyle w:val="Paragrafoelenco"/>
        <w:widowControl/>
        <w:numPr>
          <w:ilvl w:val="0"/>
          <w:numId w:val="14"/>
        </w:numPr>
        <w:adjustRightInd w:val="0"/>
        <w:jc w:val="both"/>
        <w:rPr>
          <w:rFonts w:ascii="Arial" w:hAnsi="Arial" w:cs="Arial"/>
          <w:sz w:val="24"/>
          <w:szCs w:val="24"/>
        </w:rPr>
      </w:pPr>
      <w:r w:rsidRPr="007F732B">
        <w:rPr>
          <w:rFonts w:ascii="Arial" w:eastAsiaTheme="minorHAnsi" w:hAnsi="Arial" w:cs="Arial"/>
          <w:sz w:val="24"/>
          <w:szCs w:val="24"/>
        </w:rPr>
        <w:t>lo Stato membro abbia rispettato il regolamento (UE) 2018/841; e</w:t>
      </w:r>
      <w:r w:rsidR="007F732B" w:rsidRPr="007F732B">
        <w:rPr>
          <w:rFonts w:ascii="Arial" w:eastAsiaTheme="minorHAnsi" w:hAnsi="Arial" w:cs="Arial"/>
          <w:sz w:val="24"/>
          <w:szCs w:val="24"/>
        </w:rPr>
        <w:t xml:space="preserve"> </w:t>
      </w:r>
    </w:p>
    <w:p w14:paraId="006CBE61" w14:textId="283D3B28" w:rsidR="000A2E77" w:rsidRPr="007F732B" w:rsidRDefault="00DC5F5E" w:rsidP="00076117">
      <w:pPr>
        <w:pStyle w:val="Paragrafoelenco"/>
        <w:widowControl/>
        <w:numPr>
          <w:ilvl w:val="0"/>
          <w:numId w:val="14"/>
        </w:numPr>
        <w:adjustRightInd w:val="0"/>
        <w:jc w:val="both"/>
        <w:rPr>
          <w:rFonts w:ascii="Arial" w:hAnsi="Arial" w:cs="Arial"/>
          <w:sz w:val="24"/>
          <w:szCs w:val="24"/>
        </w:rPr>
      </w:pPr>
      <w:r w:rsidRPr="007F732B">
        <w:rPr>
          <w:rFonts w:ascii="Arial" w:eastAsiaTheme="minorHAnsi" w:hAnsi="Arial" w:cs="Arial"/>
          <w:sz w:val="24"/>
          <w:szCs w:val="24"/>
        </w:rPr>
        <w:t>lo Stato membro abbia presentato, ai sensi dell’articolo 7, paragrafo 1, secondo comma, del regolamento (UE) n.</w:t>
      </w:r>
      <w:r w:rsidR="007F732B" w:rsidRPr="007F732B">
        <w:rPr>
          <w:rFonts w:ascii="Arial" w:eastAsiaTheme="minorHAnsi" w:hAnsi="Arial" w:cs="Arial"/>
          <w:sz w:val="24"/>
          <w:szCs w:val="24"/>
        </w:rPr>
        <w:t xml:space="preserve"> </w:t>
      </w:r>
      <w:r w:rsidRPr="007F732B">
        <w:rPr>
          <w:rFonts w:ascii="Arial" w:eastAsiaTheme="minorHAnsi" w:hAnsi="Arial" w:cs="Arial"/>
          <w:sz w:val="24"/>
          <w:szCs w:val="24"/>
        </w:rPr>
        <w:t>525/2013, una descrizione dell’utilizzo che intende fare dello strumento di flessibilità disponibile a norma del presente</w:t>
      </w:r>
      <w:r w:rsidR="007F732B" w:rsidRPr="007F732B">
        <w:rPr>
          <w:rFonts w:ascii="Arial" w:eastAsiaTheme="minorHAnsi" w:hAnsi="Arial" w:cs="Arial"/>
          <w:sz w:val="24"/>
          <w:szCs w:val="24"/>
        </w:rPr>
        <w:t xml:space="preserve"> </w:t>
      </w:r>
      <w:r w:rsidRPr="007F732B">
        <w:rPr>
          <w:rFonts w:ascii="Arial" w:eastAsiaTheme="minorHAnsi" w:hAnsi="Arial" w:cs="Arial"/>
          <w:sz w:val="24"/>
          <w:szCs w:val="24"/>
        </w:rPr>
        <w:t>paragrafo.</w:t>
      </w:r>
    </w:p>
    <w:p w14:paraId="66D0476F" w14:textId="77777777" w:rsidR="000A2E77" w:rsidRDefault="000A2E77" w:rsidP="000A2E77">
      <w:pPr>
        <w:pStyle w:val="Corpotesto"/>
        <w:ind w:right="45"/>
        <w:jc w:val="both"/>
        <w:rPr>
          <w:rFonts w:ascii="Arial" w:hAnsi="Arial" w:cs="Arial"/>
          <w:sz w:val="24"/>
          <w:szCs w:val="24"/>
        </w:rPr>
      </w:pPr>
    </w:p>
    <w:p w14:paraId="5AFE6AB3" w14:textId="26EFCD96" w:rsidR="007E1B29" w:rsidRDefault="00A1227E" w:rsidP="00420AE2">
      <w:pPr>
        <w:pStyle w:val="Corpotesto"/>
        <w:ind w:right="45" w:firstLine="567"/>
        <w:jc w:val="both"/>
        <w:rPr>
          <w:rFonts w:ascii="Arial" w:hAnsi="Arial" w:cs="Arial"/>
          <w:sz w:val="24"/>
          <w:szCs w:val="24"/>
        </w:rPr>
      </w:pPr>
      <w:r>
        <w:rPr>
          <w:rFonts w:ascii="Arial" w:hAnsi="Arial" w:cs="Arial"/>
          <w:sz w:val="24"/>
          <w:szCs w:val="24"/>
        </w:rPr>
        <w:t xml:space="preserve">In pratica, questo articolo afferma che è possibile </w:t>
      </w:r>
      <w:r w:rsidR="002628AF">
        <w:rPr>
          <w:rFonts w:ascii="Arial" w:hAnsi="Arial" w:cs="Arial"/>
          <w:sz w:val="24"/>
          <w:szCs w:val="24"/>
        </w:rPr>
        <w:t>utilizzare il settore LULUCF</w:t>
      </w:r>
      <w:r w:rsidR="002C3BA9">
        <w:rPr>
          <w:rFonts w:ascii="Arial" w:hAnsi="Arial" w:cs="Arial"/>
          <w:sz w:val="24"/>
          <w:szCs w:val="24"/>
        </w:rPr>
        <w:t xml:space="preserve"> da parte di uno SM</w:t>
      </w:r>
      <w:r w:rsidR="002628AF">
        <w:rPr>
          <w:rFonts w:ascii="Arial" w:hAnsi="Arial" w:cs="Arial"/>
          <w:sz w:val="24"/>
          <w:szCs w:val="24"/>
        </w:rPr>
        <w:t xml:space="preserve"> come </w:t>
      </w:r>
      <w:r w:rsidR="002628AF" w:rsidRPr="00F63691">
        <w:rPr>
          <w:rFonts w:ascii="Arial" w:hAnsi="Arial" w:cs="Arial"/>
          <w:i/>
          <w:iCs/>
          <w:sz w:val="24"/>
          <w:szCs w:val="24"/>
        </w:rPr>
        <w:t xml:space="preserve">meccanismo di flessibilità </w:t>
      </w:r>
      <w:r w:rsidR="00CE6555" w:rsidRPr="00F63691">
        <w:rPr>
          <w:rFonts w:ascii="Arial" w:hAnsi="Arial" w:cs="Arial"/>
          <w:i/>
          <w:iCs/>
          <w:sz w:val="24"/>
          <w:szCs w:val="24"/>
        </w:rPr>
        <w:t>per entra</w:t>
      </w:r>
      <w:r w:rsidR="002C3BA9" w:rsidRPr="00F63691">
        <w:rPr>
          <w:rFonts w:ascii="Arial" w:hAnsi="Arial" w:cs="Arial"/>
          <w:i/>
          <w:iCs/>
          <w:sz w:val="24"/>
          <w:szCs w:val="24"/>
        </w:rPr>
        <w:t>re in compliance con le quote annuali di C</w:t>
      </w:r>
      <w:r w:rsidR="0022144E" w:rsidRPr="00F63691">
        <w:rPr>
          <w:rFonts w:ascii="Arial" w:hAnsi="Arial" w:cs="Arial"/>
          <w:i/>
          <w:iCs/>
          <w:sz w:val="24"/>
          <w:szCs w:val="24"/>
        </w:rPr>
        <w:t>O</w:t>
      </w:r>
      <w:r w:rsidR="002C3BA9" w:rsidRPr="00F63691">
        <w:rPr>
          <w:rFonts w:ascii="Arial" w:hAnsi="Arial" w:cs="Arial"/>
          <w:i/>
          <w:iCs/>
          <w:sz w:val="24"/>
          <w:szCs w:val="24"/>
        </w:rPr>
        <w:t>2 assegnate</w:t>
      </w:r>
      <w:r w:rsidR="002C3BA9">
        <w:rPr>
          <w:rFonts w:ascii="Arial" w:hAnsi="Arial" w:cs="Arial"/>
          <w:sz w:val="24"/>
          <w:szCs w:val="24"/>
        </w:rPr>
        <w:t xml:space="preserve">. </w:t>
      </w:r>
      <w:r w:rsidR="00E14CFB">
        <w:rPr>
          <w:rFonts w:ascii="Arial" w:hAnsi="Arial" w:cs="Arial"/>
          <w:sz w:val="24"/>
          <w:szCs w:val="24"/>
        </w:rPr>
        <w:t xml:space="preserve">Si tratta di un passo in avanti di grande rilevanza rispetto alla decisione UE 529/2013, perché </w:t>
      </w:r>
      <w:r w:rsidR="00E14CFB" w:rsidRPr="00A3187F">
        <w:rPr>
          <w:rFonts w:ascii="Arial" w:hAnsi="Arial" w:cs="Arial"/>
          <w:i/>
          <w:iCs/>
          <w:sz w:val="24"/>
          <w:szCs w:val="24"/>
        </w:rPr>
        <w:t xml:space="preserve">per la prima volta si </w:t>
      </w:r>
      <w:r w:rsidR="008B3C15" w:rsidRPr="00A3187F">
        <w:rPr>
          <w:rFonts w:ascii="Arial" w:hAnsi="Arial" w:cs="Arial"/>
          <w:i/>
          <w:iCs/>
          <w:sz w:val="24"/>
          <w:szCs w:val="24"/>
        </w:rPr>
        <w:t>assegna un ruolo al settore LULUCF come meccanismo di compensazione delle emissioni globali di uno SM</w:t>
      </w:r>
      <w:r w:rsidR="008B3C15">
        <w:rPr>
          <w:rFonts w:ascii="Arial" w:hAnsi="Arial" w:cs="Arial"/>
          <w:sz w:val="24"/>
          <w:szCs w:val="24"/>
        </w:rPr>
        <w:t xml:space="preserve">, anche se solo come </w:t>
      </w:r>
      <w:r w:rsidR="00A3187F">
        <w:rPr>
          <w:rFonts w:ascii="Arial" w:hAnsi="Arial" w:cs="Arial"/>
          <w:sz w:val="24"/>
          <w:szCs w:val="24"/>
        </w:rPr>
        <w:t xml:space="preserve">mezzo di flessibilità, ovvero come strumento accessorio per entrare in compliance. </w:t>
      </w:r>
      <w:r w:rsidR="00503364">
        <w:rPr>
          <w:rFonts w:ascii="Arial" w:hAnsi="Arial" w:cs="Arial"/>
          <w:sz w:val="24"/>
          <w:szCs w:val="24"/>
        </w:rPr>
        <w:t>Questo però è possibile sotto le condizioni elencate prima</w:t>
      </w:r>
      <w:r w:rsidR="0022144E">
        <w:rPr>
          <w:rFonts w:ascii="Arial" w:hAnsi="Arial" w:cs="Arial"/>
          <w:sz w:val="24"/>
          <w:szCs w:val="24"/>
        </w:rPr>
        <w:t>, che è opportuno specificare meglio</w:t>
      </w:r>
      <w:r w:rsidR="005B5EEF">
        <w:rPr>
          <w:rFonts w:ascii="Arial" w:hAnsi="Arial" w:cs="Arial"/>
          <w:sz w:val="24"/>
          <w:szCs w:val="24"/>
        </w:rPr>
        <w:t xml:space="preserve">. </w:t>
      </w:r>
    </w:p>
    <w:p w14:paraId="7359C864" w14:textId="0924A8FA" w:rsidR="00EE312D" w:rsidRDefault="00EE312D" w:rsidP="00420AE2">
      <w:pPr>
        <w:pStyle w:val="Corpotesto"/>
        <w:ind w:right="45" w:firstLine="567"/>
        <w:jc w:val="both"/>
        <w:rPr>
          <w:rFonts w:ascii="Arial" w:hAnsi="Arial" w:cs="Arial"/>
          <w:sz w:val="24"/>
          <w:szCs w:val="24"/>
        </w:rPr>
      </w:pPr>
      <w:r>
        <w:rPr>
          <w:rFonts w:ascii="Arial" w:hAnsi="Arial" w:cs="Arial"/>
          <w:sz w:val="24"/>
          <w:szCs w:val="24"/>
        </w:rPr>
        <w:t xml:space="preserve">Il punto a) chiarisce che </w:t>
      </w:r>
      <w:r w:rsidR="00913B23">
        <w:rPr>
          <w:rFonts w:ascii="Arial" w:hAnsi="Arial" w:cs="Arial"/>
          <w:sz w:val="24"/>
          <w:szCs w:val="24"/>
        </w:rPr>
        <w:t xml:space="preserve">vi è una soglia </w:t>
      </w:r>
      <w:r w:rsidR="0031733C">
        <w:rPr>
          <w:rFonts w:ascii="Arial" w:hAnsi="Arial" w:cs="Arial"/>
          <w:sz w:val="24"/>
          <w:szCs w:val="24"/>
        </w:rPr>
        <w:t>massima di quantità di CO</w:t>
      </w:r>
      <w:r w:rsidR="0031733C" w:rsidRPr="00423453">
        <w:rPr>
          <w:rFonts w:ascii="Arial" w:hAnsi="Arial" w:cs="Arial"/>
          <w:sz w:val="24"/>
          <w:szCs w:val="24"/>
          <w:vertAlign w:val="subscript"/>
        </w:rPr>
        <w:t>2</w:t>
      </w:r>
      <w:r w:rsidR="0031733C">
        <w:rPr>
          <w:rFonts w:ascii="Arial" w:hAnsi="Arial" w:cs="Arial"/>
          <w:sz w:val="24"/>
          <w:szCs w:val="24"/>
        </w:rPr>
        <w:t xml:space="preserve"> </w:t>
      </w:r>
      <w:r w:rsidR="00913B23">
        <w:rPr>
          <w:rFonts w:ascii="Arial" w:hAnsi="Arial" w:cs="Arial"/>
          <w:sz w:val="24"/>
          <w:szCs w:val="24"/>
        </w:rPr>
        <w:t xml:space="preserve">utilizzabile per </w:t>
      </w:r>
      <w:r w:rsidR="00420AE2">
        <w:rPr>
          <w:rFonts w:ascii="Arial" w:hAnsi="Arial" w:cs="Arial"/>
          <w:sz w:val="24"/>
          <w:szCs w:val="24"/>
        </w:rPr>
        <w:t>ogni Paese e questa è pari a 3,5% delle emissioni del 1990. Per l’Italia questa soglia è quantificata in 11,5 milioni di ton di CO</w:t>
      </w:r>
      <w:r w:rsidR="00420AE2" w:rsidRPr="00423453">
        <w:rPr>
          <w:rFonts w:ascii="Arial" w:hAnsi="Arial" w:cs="Arial"/>
          <w:sz w:val="24"/>
          <w:szCs w:val="24"/>
          <w:vertAlign w:val="subscript"/>
        </w:rPr>
        <w:t>2</w:t>
      </w:r>
      <w:r w:rsidR="00420AE2">
        <w:rPr>
          <w:rFonts w:ascii="Arial" w:hAnsi="Arial" w:cs="Arial"/>
          <w:sz w:val="24"/>
          <w:szCs w:val="24"/>
        </w:rPr>
        <w:t xml:space="preserve"> </w:t>
      </w:r>
      <w:proofErr w:type="spellStart"/>
      <w:r w:rsidR="00420AE2">
        <w:rPr>
          <w:rFonts w:ascii="Arial" w:hAnsi="Arial" w:cs="Arial"/>
          <w:sz w:val="24"/>
          <w:szCs w:val="24"/>
        </w:rPr>
        <w:t>eq</w:t>
      </w:r>
      <w:proofErr w:type="spellEnd"/>
      <w:r w:rsidR="00F11251">
        <w:rPr>
          <w:rFonts w:ascii="Arial" w:hAnsi="Arial" w:cs="Arial"/>
          <w:sz w:val="24"/>
          <w:szCs w:val="24"/>
        </w:rPr>
        <w:t xml:space="preserve">. </w:t>
      </w:r>
    </w:p>
    <w:p w14:paraId="06AC72E1" w14:textId="1B91B016" w:rsidR="00F11251" w:rsidRDefault="00F11251" w:rsidP="00420AE2">
      <w:pPr>
        <w:pStyle w:val="Corpotesto"/>
        <w:ind w:right="45" w:firstLine="567"/>
        <w:jc w:val="both"/>
        <w:rPr>
          <w:rFonts w:ascii="Arial" w:hAnsi="Arial" w:cs="Arial"/>
          <w:sz w:val="24"/>
          <w:szCs w:val="24"/>
        </w:rPr>
      </w:pPr>
      <w:r>
        <w:rPr>
          <w:rFonts w:ascii="Arial" w:hAnsi="Arial" w:cs="Arial"/>
          <w:sz w:val="24"/>
          <w:szCs w:val="24"/>
        </w:rPr>
        <w:t>Il punto b)</w:t>
      </w:r>
      <w:r w:rsidR="00C8061E">
        <w:rPr>
          <w:rFonts w:ascii="Arial" w:hAnsi="Arial" w:cs="Arial"/>
          <w:sz w:val="24"/>
          <w:szCs w:val="24"/>
        </w:rPr>
        <w:t xml:space="preserve"> e il punto d) si riferiscono entrambi al rispetto di regole stabilite nel Regolamento 841</w:t>
      </w:r>
      <w:r w:rsidR="005D5350">
        <w:rPr>
          <w:rFonts w:ascii="Arial" w:hAnsi="Arial" w:cs="Arial"/>
          <w:sz w:val="24"/>
          <w:szCs w:val="24"/>
        </w:rPr>
        <w:t xml:space="preserve">, che verranno esaminate più in dettaglio nel prossimo capitolo. In breve, la </w:t>
      </w:r>
      <w:r w:rsidR="00EC3E89">
        <w:rPr>
          <w:rFonts w:ascii="Arial" w:hAnsi="Arial" w:cs="Arial"/>
          <w:sz w:val="24"/>
          <w:szCs w:val="24"/>
        </w:rPr>
        <w:t xml:space="preserve">condizione b) afferma che deve essere verificata la condizione della “no </w:t>
      </w:r>
      <w:proofErr w:type="spellStart"/>
      <w:r w:rsidR="00EC3E89">
        <w:rPr>
          <w:rFonts w:ascii="Arial" w:hAnsi="Arial" w:cs="Arial"/>
          <w:sz w:val="24"/>
          <w:szCs w:val="24"/>
        </w:rPr>
        <w:t>debit</w:t>
      </w:r>
      <w:proofErr w:type="spellEnd"/>
      <w:r w:rsidR="00EC3E89">
        <w:rPr>
          <w:rFonts w:ascii="Arial" w:hAnsi="Arial" w:cs="Arial"/>
          <w:sz w:val="24"/>
          <w:szCs w:val="24"/>
        </w:rPr>
        <w:t xml:space="preserve"> rule”, ovvero per </w:t>
      </w:r>
      <w:r w:rsidR="00BC6BF4">
        <w:rPr>
          <w:rFonts w:ascii="Arial" w:hAnsi="Arial" w:cs="Arial"/>
          <w:sz w:val="24"/>
          <w:szCs w:val="24"/>
        </w:rPr>
        <w:t xml:space="preserve">poter usare questo meccanismo di flessibilità lo SM deve avere un settore LULUCF che offre assorbimenti maggiori delle emissioni. </w:t>
      </w:r>
      <w:r w:rsidR="00A67BB2">
        <w:rPr>
          <w:rFonts w:ascii="Arial" w:hAnsi="Arial" w:cs="Arial"/>
          <w:sz w:val="24"/>
          <w:szCs w:val="24"/>
        </w:rPr>
        <w:t xml:space="preserve">Mentre la condizione d) </w:t>
      </w:r>
      <w:r w:rsidR="005F2392">
        <w:rPr>
          <w:rFonts w:ascii="Arial" w:hAnsi="Arial" w:cs="Arial"/>
          <w:sz w:val="24"/>
          <w:szCs w:val="24"/>
        </w:rPr>
        <w:t>specifica che lo SM deve essere in compliance con le norme di contabilizzazione indicate ne</w:t>
      </w:r>
      <w:r w:rsidR="002339E1">
        <w:rPr>
          <w:rFonts w:ascii="Arial" w:hAnsi="Arial" w:cs="Arial"/>
          <w:sz w:val="24"/>
          <w:szCs w:val="24"/>
        </w:rPr>
        <w:t xml:space="preserve">l Reg. 841. </w:t>
      </w:r>
    </w:p>
    <w:p w14:paraId="3F1CF90F" w14:textId="6A2068AF" w:rsidR="00492066" w:rsidRDefault="00492066" w:rsidP="00420AE2">
      <w:pPr>
        <w:pStyle w:val="Corpotesto"/>
        <w:ind w:right="45" w:firstLine="567"/>
        <w:jc w:val="both"/>
        <w:rPr>
          <w:rFonts w:ascii="Arial" w:hAnsi="Arial" w:cs="Arial"/>
          <w:sz w:val="24"/>
          <w:szCs w:val="24"/>
        </w:rPr>
      </w:pPr>
      <w:r>
        <w:rPr>
          <w:rFonts w:ascii="Arial" w:hAnsi="Arial" w:cs="Arial"/>
          <w:sz w:val="24"/>
          <w:szCs w:val="24"/>
        </w:rPr>
        <w:t xml:space="preserve">Un altro aspetto importante è la condizione c), dove si indica che l’uso </w:t>
      </w:r>
      <w:r w:rsidR="0067674A">
        <w:rPr>
          <w:rFonts w:ascii="Arial" w:hAnsi="Arial" w:cs="Arial"/>
          <w:sz w:val="24"/>
          <w:szCs w:val="24"/>
        </w:rPr>
        <w:t>del meccanismo di flessibilità determinato dagli assorbimenti netti</w:t>
      </w:r>
      <w:r w:rsidR="000674BE">
        <w:rPr>
          <w:rFonts w:ascii="Arial" w:hAnsi="Arial" w:cs="Arial"/>
          <w:sz w:val="24"/>
          <w:szCs w:val="24"/>
        </w:rPr>
        <w:t xml:space="preserve"> del settore LULUCF viene prima dall’acquisto di </w:t>
      </w:r>
      <w:r w:rsidR="00016B09">
        <w:rPr>
          <w:rFonts w:ascii="Arial" w:hAnsi="Arial" w:cs="Arial"/>
          <w:sz w:val="24"/>
          <w:szCs w:val="24"/>
        </w:rPr>
        <w:t>quote di emissione da un altro SM.</w:t>
      </w:r>
    </w:p>
    <w:p w14:paraId="785CFB68" w14:textId="78FFD475" w:rsidR="005D2066" w:rsidRDefault="001611DD" w:rsidP="00420AE2">
      <w:pPr>
        <w:pStyle w:val="Corpotesto"/>
        <w:ind w:right="45" w:firstLine="567"/>
        <w:jc w:val="both"/>
        <w:rPr>
          <w:rFonts w:ascii="Arial" w:hAnsi="Arial" w:cs="Arial"/>
          <w:sz w:val="24"/>
          <w:szCs w:val="24"/>
        </w:rPr>
      </w:pPr>
      <w:r>
        <w:rPr>
          <w:rFonts w:ascii="Arial" w:hAnsi="Arial" w:cs="Arial"/>
          <w:sz w:val="24"/>
          <w:szCs w:val="24"/>
        </w:rPr>
        <w:t xml:space="preserve">La condizione e) </w:t>
      </w:r>
      <w:r w:rsidR="00D1527C">
        <w:rPr>
          <w:rFonts w:ascii="Arial" w:hAnsi="Arial" w:cs="Arial"/>
          <w:sz w:val="24"/>
          <w:szCs w:val="24"/>
        </w:rPr>
        <w:t xml:space="preserve">implica due aspetti differenti: il primo riguarda le informazioni riguardanti la gestione delle </w:t>
      </w:r>
      <w:r w:rsidR="006000D4">
        <w:rPr>
          <w:rFonts w:ascii="Arial" w:hAnsi="Arial" w:cs="Arial"/>
          <w:sz w:val="24"/>
          <w:szCs w:val="24"/>
        </w:rPr>
        <w:t>attività LULUCF, con particolare riferimento a quelle forestali, che devono seguire le “buone pra</w:t>
      </w:r>
      <w:r w:rsidR="00FA21C5">
        <w:rPr>
          <w:rFonts w:ascii="Arial" w:hAnsi="Arial" w:cs="Arial"/>
          <w:sz w:val="24"/>
          <w:szCs w:val="24"/>
        </w:rPr>
        <w:t>ssi suggerite negli orientamenti dell’IPCC”</w:t>
      </w:r>
      <w:r w:rsidR="00395E0E">
        <w:rPr>
          <w:rStyle w:val="Rimandonotaapidipagina"/>
          <w:rFonts w:ascii="Arial" w:hAnsi="Arial" w:cs="Arial"/>
          <w:sz w:val="24"/>
          <w:szCs w:val="24"/>
        </w:rPr>
        <w:footnoteReference w:id="37"/>
      </w:r>
      <w:r w:rsidR="00395E0E">
        <w:rPr>
          <w:rFonts w:ascii="Arial" w:hAnsi="Arial" w:cs="Arial"/>
          <w:sz w:val="24"/>
          <w:szCs w:val="24"/>
        </w:rPr>
        <w:t>;</w:t>
      </w:r>
      <w:r w:rsidR="00FC5BB6">
        <w:rPr>
          <w:rFonts w:ascii="Arial" w:hAnsi="Arial" w:cs="Arial"/>
          <w:sz w:val="24"/>
          <w:szCs w:val="24"/>
        </w:rPr>
        <w:t xml:space="preserve"> la seconda è che l’utilizzo di meccanismi di flessibilit</w:t>
      </w:r>
      <w:r w:rsidR="001659B0">
        <w:rPr>
          <w:rFonts w:ascii="Arial" w:hAnsi="Arial" w:cs="Arial"/>
          <w:sz w:val="24"/>
          <w:szCs w:val="24"/>
        </w:rPr>
        <w:t>à</w:t>
      </w:r>
      <w:r w:rsidR="00FC5BB6">
        <w:rPr>
          <w:rFonts w:ascii="Arial" w:hAnsi="Arial" w:cs="Arial"/>
          <w:sz w:val="24"/>
          <w:szCs w:val="24"/>
        </w:rPr>
        <w:t xml:space="preserve">, in accordo con i dettami </w:t>
      </w:r>
      <w:r w:rsidR="00B1118A">
        <w:rPr>
          <w:rFonts w:ascii="Arial" w:hAnsi="Arial" w:cs="Arial"/>
          <w:sz w:val="24"/>
          <w:szCs w:val="24"/>
        </w:rPr>
        <w:t>della Conferenza delle parti della convenzione UNFCCC</w:t>
      </w:r>
      <w:r w:rsidR="00F032DF">
        <w:rPr>
          <w:rFonts w:ascii="Arial" w:hAnsi="Arial" w:cs="Arial"/>
          <w:sz w:val="24"/>
          <w:szCs w:val="24"/>
        </w:rPr>
        <w:t xml:space="preserve"> implica una descrizione </w:t>
      </w:r>
      <w:r w:rsidR="00FC7C15">
        <w:rPr>
          <w:rFonts w:ascii="Arial" w:hAnsi="Arial" w:cs="Arial"/>
          <w:sz w:val="24"/>
          <w:szCs w:val="24"/>
        </w:rPr>
        <w:t xml:space="preserve">delle azioni che si intende </w:t>
      </w:r>
      <w:r w:rsidR="00FC7C15">
        <w:rPr>
          <w:rFonts w:ascii="Arial" w:hAnsi="Arial" w:cs="Arial"/>
          <w:sz w:val="24"/>
          <w:szCs w:val="24"/>
        </w:rPr>
        <w:lastRenderedPageBreak/>
        <w:t xml:space="preserve">effettuare per rientrare </w:t>
      </w:r>
      <w:r w:rsidR="001659B0">
        <w:rPr>
          <w:rFonts w:ascii="Arial" w:hAnsi="Arial" w:cs="Arial"/>
          <w:sz w:val="24"/>
          <w:szCs w:val="24"/>
        </w:rPr>
        <w:t xml:space="preserve">in compliance con i valori soglia senza l’utilizzo degli stessi meccanismi di flessibilità. </w:t>
      </w:r>
    </w:p>
    <w:p w14:paraId="09867449" w14:textId="4812CB1C" w:rsidR="00A170A6" w:rsidRDefault="00A170A6" w:rsidP="00420AE2">
      <w:pPr>
        <w:pStyle w:val="Corpotesto"/>
        <w:ind w:right="45" w:firstLine="567"/>
        <w:jc w:val="both"/>
        <w:rPr>
          <w:rFonts w:ascii="Arial" w:hAnsi="Arial" w:cs="Arial"/>
          <w:sz w:val="24"/>
          <w:szCs w:val="24"/>
        </w:rPr>
      </w:pPr>
    </w:p>
    <w:p w14:paraId="1406DC3F" w14:textId="663C2604" w:rsidR="00A170A6" w:rsidRDefault="00A170A6" w:rsidP="00420AE2">
      <w:pPr>
        <w:pStyle w:val="Corpotesto"/>
        <w:ind w:right="45" w:firstLine="567"/>
        <w:jc w:val="both"/>
        <w:rPr>
          <w:rFonts w:ascii="Arial" w:hAnsi="Arial" w:cs="Arial"/>
          <w:sz w:val="24"/>
          <w:szCs w:val="24"/>
        </w:rPr>
      </w:pPr>
    </w:p>
    <w:p w14:paraId="2C8B4C15" w14:textId="4DC417A6" w:rsidR="00A170A6" w:rsidRDefault="00A170A6" w:rsidP="0092711E">
      <w:pPr>
        <w:pStyle w:val="Titolo2"/>
      </w:pPr>
      <w:bookmarkStart w:id="7" w:name="_Toc74265396"/>
      <w:r>
        <w:t xml:space="preserve">Implicazioni </w:t>
      </w:r>
      <w:r w:rsidR="00686DB6">
        <w:t>del Regolamento 2018/842 per un sistema di crediti di sostenibilità</w:t>
      </w:r>
      <w:bookmarkEnd w:id="7"/>
    </w:p>
    <w:p w14:paraId="53EFC004" w14:textId="2FA63757" w:rsidR="00A170A6" w:rsidRDefault="00A170A6" w:rsidP="00420AE2">
      <w:pPr>
        <w:pStyle w:val="Corpotesto"/>
        <w:ind w:right="45" w:firstLine="567"/>
        <w:jc w:val="both"/>
        <w:rPr>
          <w:rFonts w:ascii="Arial" w:hAnsi="Arial" w:cs="Arial"/>
          <w:sz w:val="24"/>
          <w:szCs w:val="24"/>
        </w:rPr>
      </w:pPr>
    </w:p>
    <w:p w14:paraId="676C5EF2" w14:textId="0C8C5FB9" w:rsidR="00C255B1" w:rsidRPr="00CF2ED0" w:rsidRDefault="00BD6A76" w:rsidP="00420AE2">
      <w:pPr>
        <w:pStyle w:val="Corpotesto"/>
        <w:ind w:right="45" w:firstLine="567"/>
        <w:jc w:val="both"/>
        <w:rPr>
          <w:rFonts w:ascii="Arial" w:hAnsi="Arial" w:cs="Arial"/>
          <w:sz w:val="24"/>
          <w:szCs w:val="24"/>
          <w:highlight w:val="yellow"/>
        </w:rPr>
      </w:pPr>
      <w:r>
        <w:rPr>
          <w:rFonts w:ascii="Arial" w:hAnsi="Arial" w:cs="Arial"/>
          <w:sz w:val="24"/>
          <w:szCs w:val="24"/>
        </w:rPr>
        <w:t xml:space="preserve">L’introduzione di un meccanismo di flessibilità basato sul </w:t>
      </w:r>
      <w:r w:rsidR="00470EA5">
        <w:rPr>
          <w:rFonts w:ascii="Arial" w:hAnsi="Arial" w:cs="Arial"/>
          <w:sz w:val="24"/>
          <w:szCs w:val="24"/>
        </w:rPr>
        <w:t xml:space="preserve">settore LULUCF apre ad alcune importanti considerazioni in relazione all’emissione di possibili crediti ecosistemici. </w:t>
      </w:r>
      <w:r w:rsidR="00F462AA" w:rsidRPr="00CF2ED0">
        <w:rPr>
          <w:rFonts w:ascii="Arial" w:hAnsi="Arial" w:cs="Arial"/>
          <w:sz w:val="24"/>
          <w:szCs w:val="24"/>
          <w:highlight w:val="yellow"/>
        </w:rPr>
        <w:t xml:space="preserve">Nello stesso Regolamento si afferma </w:t>
      </w:r>
      <w:r w:rsidR="006E62C5" w:rsidRPr="00CF2ED0">
        <w:rPr>
          <w:rFonts w:ascii="Arial" w:hAnsi="Arial" w:cs="Arial"/>
          <w:sz w:val="24"/>
          <w:szCs w:val="24"/>
          <w:highlight w:val="yellow"/>
        </w:rPr>
        <w:t>(</w:t>
      </w:r>
      <w:r w:rsidR="00F462AA" w:rsidRPr="00CF2ED0">
        <w:rPr>
          <w:rFonts w:ascii="Arial" w:hAnsi="Arial" w:cs="Arial"/>
          <w:sz w:val="24"/>
          <w:szCs w:val="24"/>
          <w:highlight w:val="yellow"/>
        </w:rPr>
        <w:t xml:space="preserve">Allegato </w:t>
      </w:r>
      <w:r w:rsidR="000F3923" w:rsidRPr="00CF2ED0">
        <w:rPr>
          <w:rFonts w:ascii="Arial" w:hAnsi="Arial" w:cs="Arial"/>
          <w:sz w:val="24"/>
          <w:szCs w:val="24"/>
          <w:highlight w:val="yellow"/>
        </w:rPr>
        <w:t>III</w:t>
      </w:r>
      <w:r w:rsidR="006E62C5" w:rsidRPr="00CF2ED0">
        <w:rPr>
          <w:rFonts w:ascii="Arial" w:hAnsi="Arial" w:cs="Arial"/>
          <w:sz w:val="24"/>
          <w:szCs w:val="24"/>
          <w:highlight w:val="yellow"/>
        </w:rPr>
        <w:t>) che la quantità massima di Ton di CO</w:t>
      </w:r>
      <w:r w:rsidR="006E62C5" w:rsidRPr="00CF2ED0">
        <w:rPr>
          <w:rFonts w:ascii="Arial" w:hAnsi="Arial" w:cs="Arial"/>
          <w:sz w:val="24"/>
          <w:szCs w:val="24"/>
          <w:highlight w:val="yellow"/>
          <w:vertAlign w:val="subscript"/>
        </w:rPr>
        <w:t>2</w:t>
      </w:r>
      <w:r w:rsidR="006E62C5" w:rsidRPr="00CF2ED0">
        <w:rPr>
          <w:rFonts w:ascii="Arial" w:hAnsi="Arial" w:cs="Arial"/>
          <w:sz w:val="24"/>
          <w:szCs w:val="24"/>
          <w:highlight w:val="yellow"/>
        </w:rPr>
        <w:t xml:space="preserve"> che l’</w:t>
      </w:r>
      <w:r w:rsidR="005725A9" w:rsidRPr="00CF2ED0">
        <w:rPr>
          <w:rFonts w:ascii="Arial" w:hAnsi="Arial" w:cs="Arial"/>
          <w:sz w:val="24"/>
          <w:szCs w:val="24"/>
          <w:highlight w:val="yellow"/>
        </w:rPr>
        <w:t xml:space="preserve">Italia </w:t>
      </w:r>
      <w:r w:rsidR="00B95743" w:rsidRPr="00CF2ED0">
        <w:rPr>
          <w:rFonts w:ascii="Arial" w:hAnsi="Arial" w:cs="Arial"/>
          <w:sz w:val="24"/>
          <w:szCs w:val="24"/>
          <w:highlight w:val="yellow"/>
        </w:rPr>
        <w:t xml:space="preserve">può utilizzare come meccanismo di compensazione è pari </w:t>
      </w:r>
      <w:r w:rsidR="003B6574" w:rsidRPr="00CF2ED0">
        <w:rPr>
          <w:rFonts w:ascii="Arial" w:hAnsi="Arial" w:cs="Arial"/>
          <w:sz w:val="24"/>
          <w:szCs w:val="24"/>
          <w:highlight w:val="yellow"/>
        </w:rPr>
        <w:t>a -11,5 milioni di ton di C</w:t>
      </w:r>
      <w:r w:rsidR="009C7FD4" w:rsidRPr="00CF2ED0">
        <w:rPr>
          <w:rFonts w:ascii="Arial" w:hAnsi="Arial" w:cs="Arial"/>
          <w:sz w:val="24"/>
          <w:szCs w:val="24"/>
          <w:highlight w:val="yellow"/>
        </w:rPr>
        <w:t>O</w:t>
      </w:r>
      <w:r w:rsidR="003B6574" w:rsidRPr="00CF2ED0">
        <w:rPr>
          <w:rFonts w:ascii="Arial" w:hAnsi="Arial" w:cs="Arial"/>
          <w:sz w:val="24"/>
          <w:szCs w:val="24"/>
          <w:highlight w:val="yellow"/>
          <w:vertAlign w:val="subscript"/>
        </w:rPr>
        <w:t>2</w:t>
      </w:r>
      <w:r w:rsidR="003B6574" w:rsidRPr="00CF2ED0">
        <w:rPr>
          <w:rFonts w:ascii="Arial" w:hAnsi="Arial" w:cs="Arial"/>
          <w:sz w:val="24"/>
          <w:szCs w:val="24"/>
          <w:highlight w:val="yellow"/>
        </w:rPr>
        <w:t xml:space="preserve"> </w:t>
      </w:r>
      <w:proofErr w:type="spellStart"/>
      <w:r w:rsidR="003B6574" w:rsidRPr="00CF2ED0">
        <w:rPr>
          <w:rFonts w:ascii="Arial" w:hAnsi="Arial" w:cs="Arial"/>
          <w:sz w:val="24"/>
          <w:szCs w:val="24"/>
          <w:highlight w:val="yellow"/>
        </w:rPr>
        <w:t>eq</w:t>
      </w:r>
      <w:proofErr w:type="spellEnd"/>
      <w:r w:rsidR="00B95743" w:rsidRPr="00CF2ED0">
        <w:rPr>
          <w:rFonts w:ascii="Arial" w:hAnsi="Arial" w:cs="Arial"/>
          <w:sz w:val="24"/>
          <w:szCs w:val="24"/>
          <w:highlight w:val="yellow"/>
        </w:rPr>
        <w:t xml:space="preserve">. </w:t>
      </w:r>
      <w:r w:rsidR="00053817" w:rsidRPr="00CF2ED0">
        <w:rPr>
          <w:rFonts w:ascii="Arial" w:hAnsi="Arial" w:cs="Arial"/>
          <w:sz w:val="24"/>
          <w:szCs w:val="24"/>
          <w:highlight w:val="yellow"/>
        </w:rPr>
        <w:t xml:space="preserve">per </w:t>
      </w:r>
      <w:r w:rsidR="00B67953" w:rsidRPr="00CF2ED0">
        <w:rPr>
          <w:rFonts w:ascii="Arial" w:hAnsi="Arial" w:cs="Arial"/>
          <w:sz w:val="24"/>
          <w:szCs w:val="24"/>
          <w:highlight w:val="yellow"/>
        </w:rPr>
        <w:t xml:space="preserve">tutto </w:t>
      </w:r>
      <w:r w:rsidR="00053817" w:rsidRPr="00CF2ED0">
        <w:rPr>
          <w:rFonts w:ascii="Arial" w:hAnsi="Arial" w:cs="Arial"/>
          <w:sz w:val="24"/>
          <w:szCs w:val="24"/>
          <w:highlight w:val="yellow"/>
        </w:rPr>
        <w:t xml:space="preserve">il periodo </w:t>
      </w:r>
      <w:r w:rsidR="00E424CE" w:rsidRPr="00CF2ED0">
        <w:rPr>
          <w:rFonts w:ascii="Arial" w:hAnsi="Arial" w:cs="Arial"/>
          <w:sz w:val="24"/>
          <w:szCs w:val="24"/>
          <w:highlight w:val="yellow"/>
        </w:rPr>
        <w:t>2021-2030</w:t>
      </w:r>
      <w:r w:rsidR="00837589" w:rsidRPr="00CF2ED0">
        <w:rPr>
          <w:rFonts w:ascii="Arial" w:hAnsi="Arial" w:cs="Arial"/>
          <w:sz w:val="24"/>
          <w:szCs w:val="24"/>
          <w:highlight w:val="yellow"/>
        </w:rPr>
        <w:t xml:space="preserve">, ovvero </w:t>
      </w:r>
      <w:r w:rsidR="00B67953" w:rsidRPr="00CF2ED0">
        <w:rPr>
          <w:rFonts w:ascii="Arial" w:hAnsi="Arial" w:cs="Arial"/>
          <w:sz w:val="24"/>
          <w:szCs w:val="24"/>
          <w:highlight w:val="yellow"/>
        </w:rPr>
        <w:t>-1,15 Mton di CO</w:t>
      </w:r>
      <w:r w:rsidR="00B67953" w:rsidRPr="00CF2ED0">
        <w:rPr>
          <w:rFonts w:ascii="Arial" w:hAnsi="Arial" w:cs="Arial"/>
          <w:sz w:val="24"/>
          <w:szCs w:val="24"/>
          <w:highlight w:val="yellow"/>
          <w:vertAlign w:val="subscript"/>
        </w:rPr>
        <w:t>2</w:t>
      </w:r>
      <w:r w:rsidR="00B67953" w:rsidRPr="00CF2ED0">
        <w:rPr>
          <w:rFonts w:ascii="Arial" w:hAnsi="Arial" w:cs="Arial"/>
          <w:sz w:val="24"/>
          <w:szCs w:val="24"/>
          <w:highlight w:val="yellow"/>
        </w:rPr>
        <w:t xml:space="preserve"> </w:t>
      </w:r>
      <w:proofErr w:type="spellStart"/>
      <w:proofErr w:type="gramStart"/>
      <w:r w:rsidR="00B67953" w:rsidRPr="00CF2ED0">
        <w:rPr>
          <w:rFonts w:ascii="Arial" w:hAnsi="Arial" w:cs="Arial"/>
          <w:sz w:val="24"/>
          <w:szCs w:val="24"/>
          <w:highlight w:val="yellow"/>
        </w:rPr>
        <w:t>eq</w:t>
      </w:r>
      <w:proofErr w:type="spellEnd"/>
      <w:r w:rsidR="00B67953" w:rsidRPr="00CF2ED0">
        <w:rPr>
          <w:rFonts w:ascii="Arial" w:hAnsi="Arial" w:cs="Arial"/>
          <w:sz w:val="24"/>
          <w:szCs w:val="24"/>
          <w:highlight w:val="yellow"/>
        </w:rPr>
        <w:t>.</w:t>
      </w:r>
      <w:r w:rsidR="00E424CE" w:rsidRPr="00CF2ED0">
        <w:rPr>
          <w:rFonts w:ascii="Arial" w:hAnsi="Arial" w:cs="Arial"/>
          <w:sz w:val="24"/>
          <w:szCs w:val="24"/>
          <w:highlight w:val="yellow"/>
        </w:rPr>
        <w:t>.</w:t>
      </w:r>
      <w:proofErr w:type="gramEnd"/>
      <w:r w:rsidR="00E424CE" w:rsidRPr="00CF2ED0">
        <w:rPr>
          <w:rFonts w:ascii="Arial" w:hAnsi="Arial" w:cs="Arial"/>
          <w:sz w:val="24"/>
          <w:szCs w:val="24"/>
          <w:highlight w:val="yellow"/>
        </w:rPr>
        <w:t xml:space="preserve"> Si tratta di un importo piuttosto basso, </w:t>
      </w:r>
      <w:r w:rsidR="00FA0496" w:rsidRPr="00CF2ED0">
        <w:rPr>
          <w:rFonts w:ascii="Arial" w:hAnsi="Arial" w:cs="Arial"/>
          <w:sz w:val="24"/>
          <w:szCs w:val="24"/>
          <w:highlight w:val="yellow"/>
        </w:rPr>
        <w:t xml:space="preserve">perché il settore </w:t>
      </w:r>
      <w:r w:rsidR="00A6651A" w:rsidRPr="00CF2ED0">
        <w:rPr>
          <w:rFonts w:ascii="Arial" w:hAnsi="Arial" w:cs="Arial"/>
          <w:sz w:val="24"/>
          <w:szCs w:val="24"/>
          <w:highlight w:val="yellow"/>
        </w:rPr>
        <w:t>LULUCF nell’Inventario Nazionale sui gas GHG</w:t>
      </w:r>
      <w:r w:rsidR="005123FE" w:rsidRPr="00CF2ED0">
        <w:rPr>
          <w:rFonts w:ascii="Arial" w:hAnsi="Arial" w:cs="Arial"/>
          <w:sz w:val="24"/>
          <w:szCs w:val="24"/>
          <w:highlight w:val="yellow"/>
        </w:rPr>
        <w:t xml:space="preserve"> pubblicato di ISPRA nel </w:t>
      </w:r>
      <w:r w:rsidR="00110536" w:rsidRPr="00CF2ED0">
        <w:rPr>
          <w:rFonts w:ascii="Arial" w:hAnsi="Arial" w:cs="Arial"/>
          <w:sz w:val="24"/>
          <w:szCs w:val="24"/>
          <w:highlight w:val="yellow"/>
        </w:rPr>
        <w:t>2021</w:t>
      </w:r>
      <w:r w:rsidR="007857B8" w:rsidRPr="00CF2ED0">
        <w:rPr>
          <w:rFonts w:ascii="Arial" w:hAnsi="Arial" w:cs="Arial"/>
          <w:sz w:val="24"/>
          <w:szCs w:val="24"/>
          <w:highlight w:val="yellow"/>
        </w:rPr>
        <w:t xml:space="preserve"> è accreditat</w:t>
      </w:r>
      <w:r w:rsidR="00F75A29" w:rsidRPr="00CF2ED0">
        <w:rPr>
          <w:rFonts w:ascii="Arial" w:hAnsi="Arial" w:cs="Arial"/>
          <w:sz w:val="24"/>
          <w:szCs w:val="24"/>
          <w:highlight w:val="yellow"/>
        </w:rPr>
        <w:t xml:space="preserve">o di un valore ben più elevato. Solo la gestione forestale </w:t>
      </w:r>
      <w:r w:rsidR="00D43FFF" w:rsidRPr="00CF2ED0">
        <w:rPr>
          <w:rFonts w:ascii="Arial" w:hAnsi="Arial" w:cs="Arial"/>
          <w:sz w:val="24"/>
          <w:szCs w:val="24"/>
          <w:highlight w:val="yellow"/>
        </w:rPr>
        <w:t xml:space="preserve">è accreditata di un </w:t>
      </w:r>
      <w:r w:rsidR="00075149" w:rsidRPr="00CF2ED0">
        <w:rPr>
          <w:rFonts w:ascii="Arial" w:hAnsi="Arial" w:cs="Arial"/>
          <w:sz w:val="24"/>
          <w:szCs w:val="24"/>
          <w:highlight w:val="yellow"/>
        </w:rPr>
        <w:t>assorbimento di CO2 pari a 26.599 milioni di tonnellate</w:t>
      </w:r>
      <w:r w:rsidR="004A0BF9" w:rsidRPr="00CF2ED0">
        <w:rPr>
          <w:rFonts w:ascii="Arial" w:hAnsi="Arial" w:cs="Arial"/>
          <w:sz w:val="24"/>
          <w:szCs w:val="24"/>
          <w:highlight w:val="yellow"/>
        </w:rPr>
        <w:t xml:space="preserve"> </w:t>
      </w:r>
      <w:r w:rsidR="004A0BF9" w:rsidRPr="00CF2ED0">
        <w:rPr>
          <w:rFonts w:ascii="Arial" w:hAnsi="Arial" w:cs="Arial"/>
          <w:color w:val="FF0000"/>
          <w:sz w:val="24"/>
          <w:szCs w:val="24"/>
          <w:highlight w:val="yellow"/>
        </w:rPr>
        <w:t>all’anno</w:t>
      </w:r>
      <w:r w:rsidR="00075149" w:rsidRPr="00CF2ED0">
        <w:rPr>
          <w:rFonts w:ascii="Arial" w:hAnsi="Arial" w:cs="Arial"/>
          <w:sz w:val="24"/>
          <w:szCs w:val="24"/>
          <w:highlight w:val="yellow"/>
        </w:rPr>
        <w:t>, quindi assai superiore a que</w:t>
      </w:r>
      <w:r w:rsidR="0094792D" w:rsidRPr="00CF2ED0">
        <w:rPr>
          <w:rFonts w:ascii="Arial" w:hAnsi="Arial" w:cs="Arial"/>
          <w:sz w:val="24"/>
          <w:szCs w:val="24"/>
          <w:highlight w:val="yellow"/>
        </w:rPr>
        <w:t>sta quota</w:t>
      </w:r>
      <w:r w:rsidR="00BC6932" w:rsidRPr="00CF2ED0">
        <w:rPr>
          <w:rFonts w:ascii="Arial" w:hAnsi="Arial" w:cs="Arial"/>
          <w:sz w:val="24"/>
          <w:szCs w:val="24"/>
          <w:highlight w:val="yellow"/>
        </w:rPr>
        <w:t xml:space="preserve"> e vi sono altre componenti del settore LULUCF che hanno assorbimenti di ampia portata. </w:t>
      </w:r>
      <w:r w:rsidR="00A905A9" w:rsidRPr="00CF2ED0">
        <w:rPr>
          <w:rFonts w:ascii="Arial" w:hAnsi="Arial" w:cs="Arial"/>
          <w:sz w:val="24"/>
          <w:szCs w:val="24"/>
          <w:highlight w:val="yellow"/>
        </w:rPr>
        <w:t xml:space="preserve">Non si dimentichi, infine, che se viene praticata una gestione forestale sostenibile </w:t>
      </w:r>
      <w:r w:rsidR="00EB6D3D" w:rsidRPr="00CF2ED0">
        <w:rPr>
          <w:rFonts w:ascii="Arial" w:hAnsi="Arial" w:cs="Arial"/>
          <w:sz w:val="24"/>
          <w:szCs w:val="24"/>
          <w:highlight w:val="yellow"/>
        </w:rPr>
        <w:t>che crea addizionalità rispetto ad un BAU, questa quota può essere ulteriormente incrementata</w:t>
      </w:r>
      <w:r w:rsidR="00712463" w:rsidRPr="00CF2ED0">
        <w:rPr>
          <w:rStyle w:val="Rimandonotaapidipagina"/>
          <w:rFonts w:ascii="Arial" w:hAnsi="Arial" w:cs="Arial"/>
          <w:sz w:val="24"/>
          <w:szCs w:val="24"/>
          <w:highlight w:val="yellow"/>
        </w:rPr>
        <w:footnoteReference w:id="38"/>
      </w:r>
      <w:r w:rsidR="00712463" w:rsidRPr="00CF2ED0">
        <w:rPr>
          <w:rFonts w:ascii="Arial" w:hAnsi="Arial" w:cs="Arial"/>
          <w:sz w:val="24"/>
          <w:szCs w:val="24"/>
          <w:highlight w:val="yellow"/>
        </w:rPr>
        <w:t>.</w:t>
      </w:r>
    </w:p>
    <w:p w14:paraId="5AC332E9" w14:textId="7078DABC" w:rsidR="00983C69" w:rsidRPr="00CF2ED0" w:rsidRDefault="00983C69" w:rsidP="00420AE2">
      <w:pPr>
        <w:pStyle w:val="Corpotesto"/>
        <w:ind w:right="45" w:firstLine="567"/>
        <w:jc w:val="both"/>
        <w:rPr>
          <w:rFonts w:ascii="Arial" w:hAnsi="Arial" w:cs="Arial"/>
          <w:sz w:val="24"/>
          <w:szCs w:val="24"/>
          <w:highlight w:val="yellow"/>
        </w:rPr>
      </w:pPr>
      <w:r w:rsidRPr="00CF2ED0">
        <w:rPr>
          <w:rFonts w:ascii="Arial" w:hAnsi="Arial" w:cs="Arial"/>
          <w:sz w:val="24"/>
          <w:szCs w:val="24"/>
          <w:highlight w:val="yellow"/>
        </w:rPr>
        <w:t xml:space="preserve">Sorgono perlomeno due domande rispetto a questa situazione. </w:t>
      </w:r>
    </w:p>
    <w:p w14:paraId="42899C84" w14:textId="77777777" w:rsidR="00983C69" w:rsidRPr="00CF2ED0" w:rsidRDefault="00983C69" w:rsidP="00420AE2">
      <w:pPr>
        <w:pStyle w:val="Corpotesto"/>
        <w:ind w:right="45" w:firstLine="567"/>
        <w:jc w:val="both"/>
        <w:rPr>
          <w:rFonts w:ascii="Arial" w:hAnsi="Arial" w:cs="Arial"/>
          <w:sz w:val="24"/>
          <w:szCs w:val="24"/>
          <w:highlight w:val="yellow"/>
        </w:rPr>
      </w:pPr>
    </w:p>
    <w:p w14:paraId="16A5CEF0" w14:textId="48263004" w:rsidR="00A170A6" w:rsidRPr="00CF2ED0" w:rsidRDefault="0086069F" w:rsidP="00076117">
      <w:pPr>
        <w:pStyle w:val="Corpotesto"/>
        <w:numPr>
          <w:ilvl w:val="0"/>
          <w:numId w:val="43"/>
        </w:numPr>
        <w:ind w:right="45"/>
        <w:jc w:val="both"/>
        <w:rPr>
          <w:rFonts w:ascii="Arial" w:hAnsi="Arial" w:cs="Arial"/>
          <w:sz w:val="24"/>
          <w:szCs w:val="24"/>
          <w:highlight w:val="yellow"/>
        </w:rPr>
      </w:pPr>
      <w:r w:rsidRPr="00CF2ED0">
        <w:rPr>
          <w:rFonts w:ascii="Arial" w:hAnsi="Arial" w:cs="Arial"/>
          <w:sz w:val="24"/>
          <w:szCs w:val="24"/>
          <w:highlight w:val="yellow"/>
        </w:rPr>
        <w:t>A fronte di questi valori</w:t>
      </w:r>
      <w:r w:rsidR="00325F99" w:rsidRPr="00CF2ED0">
        <w:rPr>
          <w:rFonts w:ascii="Arial" w:hAnsi="Arial" w:cs="Arial"/>
          <w:sz w:val="24"/>
          <w:szCs w:val="24"/>
          <w:highlight w:val="yellow"/>
        </w:rPr>
        <w:t>, come si può utilizzare la differenza tra il valore massimo compensabile da Regolamento, pari a 1</w:t>
      </w:r>
      <w:r w:rsidR="00B00BFD" w:rsidRPr="00CF2ED0">
        <w:rPr>
          <w:rFonts w:ascii="Arial" w:hAnsi="Arial" w:cs="Arial"/>
          <w:sz w:val="24"/>
          <w:szCs w:val="24"/>
          <w:highlight w:val="yellow"/>
        </w:rPr>
        <w:t>,</w:t>
      </w:r>
      <w:r w:rsidR="00325F99" w:rsidRPr="00CF2ED0">
        <w:rPr>
          <w:rFonts w:ascii="Arial" w:hAnsi="Arial" w:cs="Arial"/>
          <w:sz w:val="24"/>
          <w:szCs w:val="24"/>
          <w:highlight w:val="yellow"/>
        </w:rPr>
        <w:t>15 Mton</w:t>
      </w:r>
      <w:r w:rsidR="00514505" w:rsidRPr="00CF2ED0">
        <w:rPr>
          <w:rFonts w:ascii="Arial" w:hAnsi="Arial" w:cs="Arial"/>
          <w:sz w:val="24"/>
          <w:szCs w:val="24"/>
          <w:highlight w:val="yellow"/>
        </w:rPr>
        <w:t xml:space="preserve"> CO</w:t>
      </w:r>
      <w:r w:rsidR="00514505" w:rsidRPr="00CF2ED0">
        <w:rPr>
          <w:rFonts w:ascii="Arial" w:hAnsi="Arial" w:cs="Arial"/>
          <w:sz w:val="24"/>
          <w:szCs w:val="24"/>
          <w:highlight w:val="yellow"/>
          <w:vertAlign w:val="subscript"/>
        </w:rPr>
        <w:t>2</w:t>
      </w:r>
      <w:r w:rsidR="00514505" w:rsidRPr="00CF2ED0">
        <w:rPr>
          <w:rFonts w:ascii="Arial" w:hAnsi="Arial" w:cs="Arial"/>
          <w:sz w:val="24"/>
          <w:szCs w:val="24"/>
          <w:highlight w:val="yellow"/>
        </w:rPr>
        <w:t xml:space="preserve"> </w:t>
      </w:r>
      <w:proofErr w:type="spellStart"/>
      <w:r w:rsidR="00514505" w:rsidRPr="00CF2ED0">
        <w:rPr>
          <w:rFonts w:ascii="Arial" w:hAnsi="Arial" w:cs="Arial"/>
          <w:sz w:val="24"/>
          <w:szCs w:val="24"/>
          <w:highlight w:val="yellow"/>
        </w:rPr>
        <w:t>eq</w:t>
      </w:r>
      <w:proofErr w:type="spellEnd"/>
      <w:r w:rsidR="00514505" w:rsidRPr="00CF2ED0">
        <w:rPr>
          <w:rFonts w:ascii="Arial" w:hAnsi="Arial" w:cs="Arial"/>
          <w:sz w:val="24"/>
          <w:szCs w:val="24"/>
          <w:highlight w:val="yellow"/>
        </w:rPr>
        <w:t xml:space="preserve"> </w:t>
      </w:r>
      <w:r w:rsidR="00B00BFD" w:rsidRPr="00CF2ED0">
        <w:rPr>
          <w:rFonts w:ascii="Arial" w:hAnsi="Arial" w:cs="Arial"/>
          <w:sz w:val="24"/>
          <w:szCs w:val="24"/>
          <w:highlight w:val="yellow"/>
        </w:rPr>
        <w:t xml:space="preserve">annue </w:t>
      </w:r>
      <w:r w:rsidR="00514505" w:rsidRPr="00CF2ED0">
        <w:rPr>
          <w:rFonts w:ascii="Arial" w:hAnsi="Arial" w:cs="Arial"/>
          <w:sz w:val="24"/>
          <w:szCs w:val="24"/>
          <w:highlight w:val="yellow"/>
        </w:rPr>
        <w:t>e 26,559 Mton CO</w:t>
      </w:r>
      <w:r w:rsidR="00514505" w:rsidRPr="00CF2ED0">
        <w:rPr>
          <w:rFonts w:ascii="Arial" w:hAnsi="Arial" w:cs="Arial"/>
          <w:sz w:val="24"/>
          <w:szCs w:val="24"/>
          <w:highlight w:val="yellow"/>
          <w:vertAlign w:val="subscript"/>
        </w:rPr>
        <w:t>2</w:t>
      </w:r>
      <w:r w:rsidR="00514505" w:rsidRPr="00CF2ED0">
        <w:rPr>
          <w:rFonts w:ascii="Arial" w:hAnsi="Arial" w:cs="Arial"/>
          <w:sz w:val="24"/>
          <w:szCs w:val="24"/>
          <w:highlight w:val="yellow"/>
        </w:rPr>
        <w:t xml:space="preserve">, pari a </w:t>
      </w:r>
      <w:r w:rsidR="00B6162A" w:rsidRPr="00CF2ED0">
        <w:rPr>
          <w:rFonts w:ascii="Arial" w:hAnsi="Arial" w:cs="Arial"/>
          <w:sz w:val="24"/>
          <w:szCs w:val="24"/>
          <w:highlight w:val="yellow"/>
        </w:rPr>
        <w:t>2</w:t>
      </w:r>
      <w:r w:rsidR="000D669C" w:rsidRPr="00CF2ED0">
        <w:rPr>
          <w:rFonts w:ascii="Arial" w:hAnsi="Arial" w:cs="Arial"/>
          <w:sz w:val="24"/>
          <w:szCs w:val="24"/>
          <w:highlight w:val="yellow"/>
        </w:rPr>
        <w:t>5,</w:t>
      </w:r>
      <w:r w:rsidR="00B6162A" w:rsidRPr="00CF2ED0">
        <w:rPr>
          <w:rFonts w:ascii="Arial" w:hAnsi="Arial" w:cs="Arial"/>
          <w:sz w:val="24"/>
          <w:szCs w:val="24"/>
          <w:highlight w:val="yellow"/>
        </w:rPr>
        <w:t>449</w:t>
      </w:r>
      <w:r w:rsidR="000D669C" w:rsidRPr="00CF2ED0">
        <w:rPr>
          <w:rFonts w:ascii="Arial" w:hAnsi="Arial" w:cs="Arial"/>
          <w:sz w:val="24"/>
          <w:szCs w:val="24"/>
          <w:highlight w:val="yellow"/>
        </w:rPr>
        <w:t xml:space="preserve"> Mton C</w:t>
      </w:r>
      <w:r w:rsidR="007F044F" w:rsidRPr="00CF2ED0">
        <w:rPr>
          <w:rFonts w:ascii="Arial" w:hAnsi="Arial" w:cs="Arial"/>
          <w:sz w:val="24"/>
          <w:szCs w:val="24"/>
          <w:highlight w:val="yellow"/>
        </w:rPr>
        <w:t xml:space="preserve">O2 </w:t>
      </w:r>
      <w:proofErr w:type="spellStart"/>
      <w:r w:rsidR="007F044F" w:rsidRPr="00CF2ED0">
        <w:rPr>
          <w:rFonts w:ascii="Arial" w:hAnsi="Arial" w:cs="Arial"/>
          <w:sz w:val="24"/>
          <w:szCs w:val="24"/>
          <w:highlight w:val="yellow"/>
        </w:rPr>
        <w:t>eq</w:t>
      </w:r>
      <w:proofErr w:type="spellEnd"/>
      <w:r w:rsidR="00317B91" w:rsidRPr="00CF2ED0">
        <w:rPr>
          <w:rFonts w:ascii="Arial" w:hAnsi="Arial" w:cs="Arial"/>
          <w:sz w:val="24"/>
          <w:szCs w:val="24"/>
          <w:highlight w:val="yellow"/>
        </w:rPr>
        <w:t xml:space="preserve"> annue</w:t>
      </w:r>
      <w:r w:rsidR="007F044F" w:rsidRPr="00CF2ED0">
        <w:rPr>
          <w:rFonts w:ascii="Arial" w:hAnsi="Arial" w:cs="Arial"/>
          <w:sz w:val="24"/>
          <w:szCs w:val="24"/>
          <w:highlight w:val="yellow"/>
        </w:rPr>
        <w:t>?</w:t>
      </w:r>
    </w:p>
    <w:p w14:paraId="28EB45B4" w14:textId="46AE88D0" w:rsidR="00983C69" w:rsidRDefault="00983C69" w:rsidP="00076117">
      <w:pPr>
        <w:pStyle w:val="Corpotesto"/>
        <w:numPr>
          <w:ilvl w:val="0"/>
          <w:numId w:val="43"/>
        </w:numPr>
        <w:ind w:right="45"/>
        <w:jc w:val="both"/>
        <w:rPr>
          <w:rFonts w:ascii="Arial" w:hAnsi="Arial" w:cs="Arial"/>
          <w:sz w:val="24"/>
          <w:szCs w:val="24"/>
        </w:rPr>
      </w:pPr>
      <w:r>
        <w:rPr>
          <w:rFonts w:ascii="Arial" w:hAnsi="Arial" w:cs="Arial"/>
          <w:sz w:val="24"/>
          <w:szCs w:val="24"/>
        </w:rPr>
        <w:t xml:space="preserve">Chi ha la proprietà </w:t>
      </w:r>
      <w:r w:rsidR="0075499E">
        <w:rPr>
          <w:rFonts w:ascii="Arial" w:hAnsi="Arial" w:cs="Arial"/>
          <w:sz w:val="24"/>
          <w:szCs w:val="24"/>
        </w:rPr>
        <w:t>delle ton</w:t>
      </w:r>
      <w:r w:rsidR="00796BF9">
        <w:rPr>
          <w:rFonts w:ascii="Arial" w:hAnsi="Arial" w:cs="Arial"/>
          <w:sz w:val="24"/>
          <w:szCs w:val="24"/>
        </w:rPr>
        <w:t>nellate</w:t>
      </w:r>
      <w:r w:rsidR="0075499E">
        <w:rPr>
          <w:rFonts w:ascii="Arial" w:hAnsi="Arial" w:cs="Arial"/>
          <w:sz w:val="24"/>
          <w:szCs w:val="24"/>
        </w:rPr>
        <w:t xml:space="preserve"> di CO</w:t>
      </w:r>
      <w:r w:rsidR="0075499E" w:rsidRPr="00423453">
        <w:rPr>
          <w:rFonts w:ascii="Arial" w:hAnsi="Arial" w:cs="Arial"/>
          <w:sz w:val="24"/>
          <w:szCs w:val="24"/>
          <w:vertAlign w:val="subscript"/>
        </w:rPr>
        <w:t>2</w:t>
      </w:r>
      <w:r w:rsidR="0075499E">
        <w:rPr>
          <w:rFonts w:ascii="Arial" w:hAnsi="Arial" w:cs="Arial"/>
          <w:sz w:val="24"/>
          <w:szCs w:val="24"/>
        </w:rPr>
        <w:t xml:space="preserve"> del settore LULUCF?</w:t>
      </w:r>
    </w:p>
    <w:p w14:paraId="75A1C60B" w14:textId="5A378C2E" w:rsidR="0075499E" w:rsidRDefault="0075499E" w:rsidP="00420AE2">
      <w:pPr>
        <w:pStyle w:val="Corpotesto"/>
        <w:ind w:right="45" w:firstLine="567"/>
        <w:jc w:val="both"/>
        <w:rPr>
          <w:rFonts w:ascii="Arial" w:hAnsi="Arial" w:cs="Arial"/>
          <w:sz w:val="24"/>
          <w:szCs w:val="24"/>
        </w:rPr>
      </w:pPr>
    </w:p>
    <w:p w14:paraId="2009A80A" w14:textId="05094875" w:rsidR="0075499E" w:rsidRDefault="00A51C2C" w:rsidP="007507E1">
      <w:pPr>
        <w:pStyle w:val="Corpotesto"/>
        <w:ind w:right="45" w:firstLine="567"/>
        <w:jc w:val="both"/>
        <w:rPr>
          <w:rFonts w:ascii="Arial" w:hAnsi="Arial" w:cs="Arial"/>
          <w:sz w:val="24"/>
          <w:szCs w:val="24"/>
        </w:rPr>
      </w:pPr>
      <w:r>
        <w:rPr>
          <w:rFonts w:ascii="Arial" w:hAnsi="Arial" w:cs="Arial"/>
          <w:sz w:val="24"/>
          <w:szCs w:val="24"/>
        </w:rPr>
        <w:t>La risposta alla seconda domanda</w:t>
      </w:r>
      <w:r w:rsidR="00B77A6D">
        <w:rPr>
          <w:rFonts w:ascii="Arial" w:hAnsi="Arial" w:cs="Arial"/>
          <w:sz w:val="24"/>
          <w:szCs w:val="24"/>
        </w:rPr>
        <w:t xml:space="preserve"> determina anche implicitamente la risposta alla prima. Attualmente il proprietario è lo Stato </w:t>
      </w:r>
      <w:r w:rsidR="003126AF">
        <w:rPr>
          <w:rFonts w:ascii="Arial" w:hAnsi="Arial" w:cs="Arial"/>
          <w:sz w:val="24"/>
          <w:szCs w:val="24"/>
        </w:rPr>
        <w:t>italiano</w:t>
      </w:r>
      <w:r w:rsidR="00D125D0">
        <w:rPr>
          <w:rFonts w:ascii="Arial" w:hAnsi="Arial" w:cs="Arial"/>
          <w:sz w:val="24"/>
          <w:szCs w:val="24"/>
        </w:rPr>
        <w:t xml:space="preserve"> a livello Centrale</w:t>
      </w:r>
      <w:r w:rsidR="00146254">
        <w:rPr>
          <w:rFonts w:ascii="Arial" w:hAnsi="Arial" w:cs="Arial"/>
          <w:sz w:val="24"/>
          <w:szCs w:val="24"/>
        </w:rPr>
        <w:t xml:space="preserve"> (in particolare il Ministero dell’Ambiente)</w:t>
      </w:r>
      <w:r w:rsidR="00972DA1">
        <w:rPr>
          <w:rFonts w:ascii="Arial" w:hAnsi="Arial" w:cs="Arial"/>
          <w:sz w:val="24"/>
          <w:szCs w:val="24"/>
        </w:rPr>
        <w:t>,</w:t>
      </w:r>
      <w:r w:rsidR="006B2996">
        <w:rPr>
          <w:rFonts w:ascii="Arial" w:hAnsi="Arial" w:cs="Arial"/>
          <w:sz w:val="24"/>
          <w:szCs w:val="24"/>
        </w:rPr>
        <w:t xml:space="preserve"> in quanto ha avocato a sé tutti gli assorbimenti netti derivanti da</w:t>
      </w:r>
      <w:r w:rsidR="00965DE7">
        <w:rPr>
          <w:rFonts w:ascii="Arial" w:hAnsi="Arial" w:cs="Arial"/>
          <w:sz w:val="24"/>
          <w:szCs w:val="24"/>
        </w:rPr>
        <w:t>i sistemi forestali</w:t>
      </w:r>
      <w:r w:rsidR="00D125D0">
        <w:rPr>
          <w:rFonts w:ascii="Arial" w:hAnsi="Arial" w:cs="Arial"/>
          <w:sz w:val="24"/>
          <w:szCs w:val="24"/>
        </w:rPr>
        <w:t>.</w:t>
      </w:r>
      <w:r w:rsidR="00E413C1">
        <w:rPr>
          <w:rFonts w:ascii="Arial" w:hAnsi="Arial" w:cs="Arial"/>
          <w:sz w:val="24"/>
          <w:szCs w:val="24"/>
        </w:rPr>
        <w:t xml:space="preserve"> In questo modo pu</w:t>
      </w:r>
      <w:r w:rsidR="00B37E61">
        <w:rPr>
          <w:rFonts w:ascii="Arial" w:hAnsi="Arial" w:cs="Arial"/>
          <w:sz w:val="24"/>
          <w:szCs w:val="24"/>
        </w:rPr>
        <w:t>ò utilizzarli come mezzo di compensazione nell’ambito dell’ESR, anche se quest</w:t>
      </w:r>
      <w:r w:rsidR="00374116">
        <w:rPr>
          <w:rFonts w:ascii="Arial" w:hAnsi="Arial" w:cs="Arial"/>
          <w:sz w:val="24"/>
          <w:szCs w:val="24"/>
        </w:rPr>
        <w:t xml:space="preserve">o titolo di proprietà è comunque antecedente all’istituzione dell’ESR e risale ancora all’adesione al Protocollo di Kyoto da parte dell’Italia. </w:t>
      </w:r>
      <w:r w:rsidR="00261BB1">
        <w:rPr>
          <w:rFonts w:ascii="Arial" w:hAnsi="Arial" w:cs="Arial"/>
          <w:sz w:val="24"/>
          <w:szCs w:val="24"/>
        </w:rPr>
        <w:t xml:space="preserve">Se però </w:t>
      </w:r>
      <w:r w:rsidR="00B64B49">
        <w:rPr>
          <w:rFonts w:ascii="Arial" w:hAnsi="Arial" w:cs="Arial"/>
          <w:sz w:val="24"/>
          <w:szCs w:val="24"/>
        </w:rPr>
        <w:t>nel ESR è possibile utilizzare solo 11,5 milioni di ton di CO</w:t>
      </w:r>
      <w:r w:rsidR="00B64B49" w:rsidRPr="00423453">
        <w:rPr>
          <w:rFonts w:ascii="Arial" w:hAnsi="Arial" w:cs="Arial"/>
          <w:sz w:val="24"/>
          <w:szCs w:val="24"/>
          <w:vertAlign w:val="subscript"/>
        </w:rPr>
        <w:t>2</w:t>
      </w:r>
      <w:r w:rsidR="00B64B49">
        <w:rPr>
          <w:rFonts w:ascii="Arial" w:hAnsi="Arial" w:cs="Arial"/>
          <w:sz w:val="24"/>
          <w:szCs w:val="24"/>
        </w:rPr>
        <w:t xml:space="preserve">, </w:t>
      </w:r>
      <w:r w:rsidR="00D9503C">
        <w:rPr>
          <w:rFonts w:ascii="Arial" w:hAnsi="Arial" w:cs="Arial"/>
          <w:sz w:val="24"/>
          <w:szCs w:val="24"/>
        </w:rPr>
        <w:t xml:space="preserve">la differenza di </w:t>
      </w:r>
      <w:r w:rsidR="00317B91">
        <w:rPr>
          <w:rFonts w:ascii="Arial" w:hAnsi="Arial" w:cs="Arial"/>
          <w:sz w:val="24"/>
          <w:szCs w:val="24"/>
        </w:rPr>
        <w:t xml:space="preserve">25,449 </w:t>
      </w:r>
      <w:r w:rsidR="00D9503C">
        <w:rPr>
          <w:rFonts w:ascii="Arial" w:hAnsi="Arial" w:cs="Arial"/>
          <w:sz w:val="24"/>
          <w:szCs w:val="24"/>
        </w:rPr>
        <w:t>milioni di CO</w:t>
      </w:r>
      <w:r w:rsidR="00D9503C" w:rsidRPr="00423453">
        <w:rPr>
          <w:rFonts w:ascii="Arial" w:hAnsi="Arial" w:cs="Arial"/>
          <w:sz w:val="24"/>
          <w:szCs w:val="24"/>
          <w:vertAlign w:val="subscript"/>
        </w:rPr>
        <w:t>2</w:t>
      </w:r>
      <w:r w:rsidR="00D9503C">
        <w:rPr>
          <w:rFonts w:ascii="Arial" w:hAnsi="Arial" w:cs="Arial"/>
          <w:sz w:val="24"/>
          <w:szCs w:val="24"/>
        </w:rPr>
        <w:t xml:space="preserve"> non può essere utilizzata, a meno che: </w:t>
      </w:r>
    </w:p>
    <w:p w14:paraId="7913973F" w14:textId="7F9E3ADA" w:rsidR="00D9503C" w:rsidRDefault="00D9503C" w:rsidP="007507E1">
      <w:pPr>
        <w:pStyle w:val="Corpotesto"/>
        <w:ind w:right="45" w:firstLine="567"/>
        <w:jc w:val="both"/>
        <w:rPr>
          <w:rFonts w:ascii="Arial" w:hAnsi="Arial" w:cs="Arial"/>
          <w:sz w:val="24"/>
          <w:szCs w:val="24"/>
        </w:rPr>
      </w:pPr>
    </w:p>
    <w:p w14:paraId="7444BDD8" w14:textId="6C79C47E" w:rsidR="00D9503C" w:rsidRDefault="000C5EA9" w:rsidP="00076117">
      <w:pPr>
        <w:pStyle w:val="Corpotesto"/>
        <w:numPr>
          <w:ilvl w:val="0"/>
          <w:numId w:val="44"/>
        </w:numPr>
        <w:ind w:right="45"/>
        <w:jc w:val="both"/>
        <w:rPr>
          <w:rFonts w:ascii="Arial" w:hAnsi="Arial" w:cs="Arial"/>
          <w:sz w:val="24"/>
          <w:szCs w:val="24"/>
        </w:rPr>
      </w:pPr>
      <w:r>
        <w:rPr>
          <w:rFonts w:ascii="Arial" w:hAnsi="Arial" w:cs="Arial"/>
          <w:sz w:val="24"/>
          <w:szCs w:val="24"/>
        </w:rPr>
        <w:t>i parametri del meccanismo di flessibilità dell’ESR vengano rivisti verso l’altro;</w:t>
      </w:r>
    </w:p>
    <w:p w14:paraId="1673F7EF" w14:textId="7EBC46B6" w:rsidR="000C5EA9" w:rsidRDefault="000C5EA9" w:rsidP="00076117">
      <w:pPr>
        <w:pStyle w:val="Corpotesto"/>
        <w:numPr>
          <w:ilvl w:val="0"/>
          <w:numId w:val="44"/>
        </w:numPr>
        <w:ind w:right="45"/>
        <w:jc w:val="both"/>
        <w:rPr>
          <w:rFonts w:ascii="Arial" w:hAnsi="Arial" w:cs="Arial"/>
          <w:sz w:val="24"/>
          <w:szCs w:val="24"/>
        </w:rPr>
      </w:pPr>
      <w:r>
        <w:rPr>
          <w:rFonts w:ascii="Arial" w:hAnsi="Arial" w:cs="Arial"/>
          <w:sz w:val="24"/>
          <w:szCs w:val="24"/>
        </w:rPr>
        <w:t>il Ministero dell’Ambiente</w:t>
      </w:r>
      <w:r w:rsidR="00146254">
        <w:rPr>
          <w:rFonts w:ascii="Arial" w:hAnsi="Arial" w:cs="Arial"/>
          <w:sz w:val="24"/>
          <w:szCs w:val="24"/>
        </w:rPr>
        <w:t xml:space="preserve"> non li utilizzi per altre forme di compensazione </w:t>
      </w:r>
      <w:r w:rsidR="00640C05">
        <w:rPr>
          <w:rFonts w:ascii="Arial" w:hAnsi="Arial" w:cs="Arial"/>
          <w:sz w:val="24"/>
          <w:szCs w:val="24"/>
        </w:rPr>
        <w:t xml:space="preserve">attualmente non previste. </w:t>
      </w:r>
    </w:p>
    <w:p w14:paraId="17F1A81C" w14:textId="2CCAF48B" w:rsidR="00640C05" w:rsidRDefault="00640C05" w:rsidP="007507E1">
      <w:pPr>
        <w:pStyle w:val="Corpotesto"/>
        <w:ind w:right="45" w:firstLine="567"/>
        <w:jc w:val="both"/>
        <w:rPr>
          <w:rFonts w:ascii="Arial" w:hAnsi="Arial" w:cs="Arial"/>
          <w:sz w:val="24"/>
          <w:szCs w:val="24"/>
        </w:rPr>
      </w:pPr>
    </w:p>
    <w:p w14:paraId="01143F15" w14:textId="01B8360D" w:rsidR="00640C05" w:rsidRDefault="00E440F7" w:rsidP="007507E1">
      <w:pPr>
        <w:pStyle w:val="Corpotesto"/>
        <w:ind w:right="45" w:firstLine="567"/>
        <w:jc w:val="both"/>
        <w:rPr>
          <w:rFonts w:ascii="Arial" w:hAnsi="Arial" w:cs="Arial"/>
          <w:sz w:val="24"/>
          <w:szCs w:val="24"/>
        </w:rPr>
      </w:pPr>
      <w:r>
        <w:rPr>
          <w:rFonts w:ascii="Arial" w:hAnsi="Arial" w:cs="Arial"/>
          <w:sz w:val="24"/>
          <w:szCs w:val="24"/>
        </w:rPr>
        <w:t>La revisione ver</w:t>
      </w:r>
      <w:r w:rsidR="003126AF">
        <w:rPr>
          <w:rFonts w:ascii="Arial" w:hAnsi="Arial" w:cs="Arial"/>
          <w:sz w:val="24"/>
          <w:szCs w:val="24"/>
        </w:rPr>
        <w:t>s</w:t>
      </w:r>
      <w:r>
        <w:rPr>
          <w:rFonts w:ascii="Arial" w:hAnsi="Arial" w:cs="Arial"/>
          <w:sz w:val="24"/>
          <w:szCs w:val="24"/>
        </w:rPr>
        <w:t xml:space="preserve">o l’alto del valore di 11,5 milioni di ton è possibile, perché </w:t>
      </w:r>
      <w:r w:rsidR="00586894">
        <w:rPr>
          <w:rFonts w:ascii="Arial" w:hAnsi="Arial" w:cs="Arial"/>
          <w:sz w:val="24"/>
          <w:szCs w:val="24"/>
        </w:rPr>
        <w:t>questo valore è stato fissato nel 2018, quando l’obbiettivo di riduzione al 2030 era del 40%</w:t>
      </w:r>
      <w:r w:rsidR="005C77AC">
        <w:rPr>
          <w:rFonts w:ascii="Arial" w:hAnsi="Arial" w:cs="Arial"/>
          <w:sz w:val="24"/>
          <w:szCs w:val="24"/>
        </w:rPr>
        <w:t>, mentre ora l’obbiettivo è stato portato al 55%. Ne consegue che tutti questi valori sono in fase di rinegoziazione</w:t>
      </w:r>
      <w:r w:rsidR="005E1A3E">
        <w:rPr>
          <w:rFonts w:ascii="Arial" w:hAnsi="Arial" w:cs="Arial"/>
          <w:sz w:val="24"/>
          <w:szCs w:val="24"/>
        </w:rPr>
        <w:t>. Tuttavia</w:t>
      </w:r>
      <w:r w:rsidR="00D534E1">
        <w:rPr>
          <w:rFonts w:ascii="Arial" w:hAnsi="Arial" w:cs="Arial"/>
          <w:sz w:val="24"/>
          <w:szCs w:val="24"/>
        </w:rPr>
        <w:t>,</w:t>
      </w:r>
      <w:r w:rsidR="005E1A3E">
        <w:rPr>
          <w:rFonts w:ascii="Arial" w:hAnsi="Arial" w:cs="Arial"/>
          <w:sz w:val="24"/>
          <w:szCs w:val="24"/>
        </w:rPr>
        <w:t xml:space="preserve"> </w:t>
      </w:r>
      <w:r w:rsidR="002E4C22">
        <w:rPr>
          <w:rFonts w:ascii="Arial" w:hAnsi="Arial" w:cs="Arial"/>
          <w:sz w:val="24"/>
          <w:szCs w:val="24"/>
        </w:rPr>
        <w:t>è alquanto improbabile che l’incremento della quantità di flessibilità sia incrementato di molto, perché questo valore è stato ottenuto da un preciso meccanismo di calcolo</w:t>
      </w:r>
      <w:r w:rsidR="00D534E1">
        <w:rPr>
          <w:rFonts w:ascii="Arial" w:hAnsi="Arial" w:cs="Arial"/>
          <w:sz w:val="24"/>
          <w:szCs w:val="24"/>
        </w:rPr>
        <w:t>:</w:t>
      </w:r>
    </w:p>
    <w:p w14:paraId="0B39EC8D" w14:textId="77777777" w:rsidR="00D42909" w:rsidRDefault="00D534E1" w:rsidP="00076117">
      <w:pPr>
        <w:pStyle w:val="Corpotesto"/>
        <w:numPr>
          <w:ilvl w:val="0"/>
          <w:numId w:val="45"/>
        </w:numPr>
        <w:ind w:right="45"/>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 stato fissato </w:t>
      </w:r>
      <w:r w:rsidR="00D42909">
        <w:rPr>
          <w:rFonts w:ascii="Arial" w:hAnsi="Arial" w:cs="Arial"/>
          <w:sz w:val="24"/>
          <w:szCs w:val="24"/>
        </w:rPr>
        <w:t xml:space="preserve">per l’intero territorio UE un </w:t>
      </w:r>
      <w:proofErr w:type="spellStart"/>
      <w:r w:rsidR="00D42909">
        <w:rPr>
          <w:rFonts w:ascii="Arial" w:hAnsi="Arial" w:cs="Arial"/>
          <w:sz w:val="24"/>
          <w:szCs w:val="24"/>
        </w:rPr>
        <w:t>cap</w:t>
      </w:r>
      <w:proofErr w:type="spellEnd"/>
      <w:r w:rsidR="00D42909">
        <w:rPr>
          <w:rFonts w:ascii="Arial" w:hAnsi="Arial" w:cs="Arial"/>
          <w:sz w:val="24"/>
          <w:szCs w:val="24"/>
        </w:rPr>
        <w:t xml:space="preserve"> di 280 milioni di tonnellate di CO</w:t>
      </w:r>
      <w:r w:rsidR="00D42909" w:rsidRPr="00423453">
        <w:rPr>
          <w:rFonts w:ascii="Arial" w:hAnsi="Arial" w:cs="Arial"/>
          <w:sz w:val="24"/>
          <w:szCs w:val="24"/>
          <w:vertAlign w:val="subscript"/>
        </w:rPr>
        <w:t>2</w:t>
      </w:r>
      <w:r w:rsidR="00D42909">
        <w:rPr>
          <w:rFonts w:ascii="Arial" w:hAnsi="Arial" w:cs="Arial"/>
          <w:sz w:val="24"/>
          <w:szCs w:val="24"/>
        </w:rPr>
        <w:t>;</w:t>
      </w:r>
    </w:p>
    <w:p w14:paraId="13C10BCC" w14:textId="3C4C5ECF" w:rsidR="00D534E1" w:rsidRDefault="00D42909" w:rsidP="00076117">
      <w:pPr>
        <w:pStyle w:val="Corpotesto"/>
        <w:numPr>
          <w:ilvl w:val="0"/>
          <w:numId w:val="45"/>
        </w:numPr>
        <w:ind w:right="45"/>
        <w:jc w:val="both"/>
        <w:rPr>
          <w:rFonts w:ascii="Arial" w:hAnsi="Arial" w:cs="Arial"/>
          <w:sz w:val="24"/>
          <w:szCs w:val="24"/>
        </w:rPr>
      </w:pPr>
      <w:r>
        <w:rPr>
          <w:rFonts w:ascii="Arial" w:hAnsi="Arial" w:cs="Arial"/>
          <w:sz w:val="24"/>
          <w:szCs w:val="24"/>
        </w:rPr>
        <w:t>questo valore è stato poi ripartito tra gli SM</w:t>
      </w:r>
      <w:r w:rsidR="0033334C">
        <w:rPr>
          <w:rFonts w:ascii="Arial" w:hAnsi="Arial" w:cs="Arial"/>
          <w:sz w:val="24"/>
          <w:szCs w:val="24"/>
        </w:rPr>
        <w:t xml:space="preserve"> mediante un meccanismo che si è basato sulla % di terreno agricolo nello SM e sul</w:t>
      </w:r>
      <w:r w:rsidR="00D11384">
        <w:rPr>
          <w:rFonts w:ascii="Arial" w:hAnsi="Arial" w:cs="Arial"/>
          <w:sz w:val="24"/>
          <w:szCs w:val="24"/>
        </w:rPr>
        <w:t xml:space="preserve"> grado di miglioramento che </w:t>
      </w:r>
      <w:r w:rsidR="002C485C">
        <w:rPr>
          <w:rFonts w:ascii="Arial" w:hAnsi="Arial" w:cs="Arial"/>
          <w:sz w:val="24"/>
          <w:szCs w:val="24"/>
        </w:rPr>
        <w:lastRenderedPageBreak/>
        <w:t xml:space="preserve">l’agricoltura stessa poteva generare. </w:t>
      </w:r>
    </w:p>
    <w:p w14:paraId="58DE00EA" w14:textId="57D6096B" w:rsidR="002C485C" w:rsidRDefault="002C485C" w:rsidP="007507E1">
      <w:pPr>
        <w:pStyle w:val="Corpotesto"/>
        <w:ind w:right="45" w:firstLine="567"/>
        <w:jc w:val="both"/>
        <w:rPr>
          <w:rFonts w:ascii="Arial" w:hAnsi="Arial" w:cs="Arial"/>
          <w:sz w:val="24"/>
          <w:szCs w:val="24"/>
        </w:rPr>
      </w:pPr>
    </w:p>
    <w:p w14:paraId="3A0B5B8C" w14:textId="06BBE3FF" w:rsidR="0054529E" w:rsidRDefault="002C485C" w:rsidP="007507E1">
      <w:pPr>
        <w:pStyle w:val="Corpotesto"/>
        <w:ind w:right="45" w:firstLine="567"/>
        <w:jc w:val="both"/>
        <w:rPr>
          <w:rFonts w:ascii="Arial" w:hAnsi="Arial" w:cs="Arial"/>
          <w:sz w:val="24"/>
          <w:szCs w:val="24"/>
        </w:rPr>
      </w:pPr>
      <w:r>
        <w:rPr>
          <w:rFonts w:ascii="Arial" w:hAnsi="Arial" w:cs="Arial"/>
          <w:sz w:val="24"/>
          <w:szCs w:val="24"/>
        </w:rPr>
        <w:t xml:space="preserve">L’Italia ha ricevuto una quota bassa di valore perché </w:t>
      </w:r>
      <w:r w:rsidR="0033654D">
        <w:rPr>
          <w:rFonts w:ascii="Arial" w:hAnsi="Arial" w:cs="Arial"/>
          <w:sz w:val="24"/>
          <w:szCs w:val="24"/>
        </w:rPr>
        <w:t xml:space="preserve">è essenzialmente un Paese industriale dove la superficie agricola è meno del 7% e, inoltre, l’agricoltura italiana in termini di emissioni è </w:t>
      </w:r>
      <w:r w:rsidR="009B2F97">
        <w:rPr>
          <w:rFonts w:ascii="Arial" w:hAnsi="Arial" w:cs="Arial"/>
          <w:sz w:val="24"/>
          <w:szCs w:val="24"/>
        </w:rPr>
        <w:t>piuttosto “virtuosa” in quanto ha messo diverse norme volte a limitar</w:t>
      </w:r>
      <w:r w:rsidR="00C36857">
        <w:rPr>
          <w:rFonts w:ascii="Arial" w:hAnsi="Arial" w:cs="Arial"/>
          <w:sz w:val="24"/>
          <w:szCs w:val="24"/>
        </w:rPr>
        <w:t>l</w:t>
      </w:r>
      <w:r w:rsidR="009B2F97">
        <w:rPr>
          <w:rFonts w:ascii="Arial" w:hAnsi="Arial" w:cs="Arial"/>
          <w:sz w:val="24"/>
          <w:szCs w:val="24"/>
        </w:rPr>
        <w:t xml:space="preserve">e. </w:t>
      </w:r>
      <w:r w:rsidR="0011378E">
        <w:rPr>
          <w:rFonts w:ascii="Arial" w:hAnsi="Arial" w:cs="Arial"/>
          <w:sz w:val="24"/>
          <w:szCs w:val="24"/>
        </w:rPr>
        <w:t>Questa è la ragione per cui l’Italia ha ottenuto solo 11,5 milioni di ton nonostante la sua notevole superficie forestale mentre</w:t>
      </w:r>
      <w:r w:rsidR="00E3042C">
        <w:rPr>
          <w:rFonts w:ascii="Arial" w:hAnsi="Arial" w:cs="Arial"/>
          <w:sz w:val="24"/>
          <w:szCs w:val="24"/>
        </w:rPr>
        <w:t xml:space="preserve"> un Paese come</w:t>
      </w:r>
      <w:r w:rsidR="0011378E">
        <w:rPr>
          <w:rFonts w:ascii="Arial" w:hAnsi="Arial" w:cs="Arial"/>
          <w:sz w:val="24"/>
          <w:szCs w:val="24"/>
        </w:rPr>
        <w:t xml:space="preserve"> la Francia, che ha una superficie </w:t>
      </w:r>
      <w:r w:rsidR="00DB5BC3">
        <w:rPr>
          <w:rFonts w:ascii="Arial" w:hAnsi="Arial" w:cs="Arial"/>
          <w:sz w:val="24"/>
          <w:szCs w:val="24"/>
        </w:rPr>
        <w:t>territoriale di poco superiore all’Italia ha ottenuto ben 58,2 milioni</w:t>
      </w:r>
      <w:r w:rsidR="00E3042C">
        <w:rPr>
          <w:rStyle w:val="Rimandonotaapidipagina"/>
          <w:rFonts w:ascii="Arial" w:hAnsi="Arial" w:cs="Arial"/>
          <w:sz w:val="24"/>
          <w:szCs w:val="24"/>
        </w:rPr>
        <w:footnoteReference w:id="39"/>
      </w:r>
      <w:r w:rsidR="00E3042C">
        <w:rPr>
          <w:rFonts w:ascii="Arial" w:hAnsi="Arial" w:cs="Arial"/>
          <w:sz w:val="24"/>
          <w:szCs w:val="24"/>
        </w:rPr>
        <w:t xml:space="preserve">. </w:t>
      </w:r>
    </w:p>
    <w:p w14:paraId="493423BD" w14:textId="4156CD36" w:rsidR="002C485C" w:rsidRDefault="0065697C" w:rsidP="007507E1">
      <w:pPr>
        <w:pStyle w:val="Corpotesto"/>
        <w:ind w:right="45" w:firstLine="567"/>
        <w:jc w:val="both"/>
        <w:rPr>
          <w:rFonts w:ascii="Arial" w:hAnsi="Arial" w:cs="Arial"/>
          <w:sz w:val="24"/>
          <w:szCs w:val="24"/>
        </w:rPr>
      </w:pPr>
      <w:r>
        <w:rPr>
          <w:rFonts w:ascii="Arial" w:hAnsi="Arial" w:cs="Arial"/>
          <w:sz w:val="24"/>
          <w:szCs w:val="24"/>
        </w:rPr>
        <w:t xml:space="preserve">In ogni caso, essendo stato fissato un tetto di 280 milioni è evidente che </w:t>
      </w:r>
      <w:r w:rsidR="00242FF7">
        <w:rPr>
          <w:rFonts w:ascii="Arial" w:hAnsi="Arial" w:cs="Arial"/>
          <w:sz w:val="24"/>
          <w:szCs w:val="24"/>
        </w:rPr>
        <w:t xml:space="preserve">o si rivede verso l’altro questo valore o si devono distribuire diversamente queste quantità tra gli SM. </w:t>
      </w:r>
      <w:r w:rsidR="00A0359D">
        <w:rPr>
          <w:rFonts w:ascii="Arial" w:hAnsi="Arial" w:cs="Arial"/>
          <w:sz w:val="24"/>
          <w:szCs w:val="24"/>
        </w:rPr>
        <w:t xml:space="preserve">Nonostante la negoziazione in corso, è difficile che vi siano variazioni sostanziali. </w:t>
      </w:r>
    </w:p>
    <w:p w14:paraId="15CD5889" w14:textId="37577161" w:rsidR="00EC0566" w:rsidRDefault="00EC0566" w:rsidP="007507E1">
      <w:pPr>
        <w:pStyle w:val="Corpotesto"/>
        <w:ind w:right="45" w:firstLine="567"/>
        <w:jc w:val="both"/>
        <w:rPr>
          <w:rFonts w:ascii="Arial" w:hAnsi="Arial" w:cs="Arial"/>
          <w:sz w:val="24"/>
          <w:szCs w:val="24"/>
        </w:rPr>
      </w:pPr>
      <w:r>
        <w:rPr>
          <w:rFonts w:ascii="Arial" w:hAnsi="Arial" w:cs="Arial"/>
          <w:sz w:val="24"/>
          <w:szCs w:val="24"/>
        </w:rPr>
        <w:t xml:space="preserve">L’altra possibilità è che il Ministero dell’Ambiente </w:t>
      </w:r>
      <w:r w:rsidR="006A14BB">
        <w:rPr>
          <w:rFonts w:ascii="Arial" w:hAnsi="Arial" w:cs="Arial"/>
          <w:sz w:val="24"/>
          <w:szCs w:val="24"/>
        </w:rPr>
        <w:t>crei o dei meccanismi di riallocazione oppure deleghi degli enti locali a gestirli</w:t>
      </w:r>
      <w:r w:rsidR="00F06423">
        <w:rPr>
          <w:rFonts w:ascii="Arial" w:hAnsi="Arial" w:cs="Arial"/>
          <w:sz w:val="24"/>
          <w:szCs w:val="24"/>
        </w:rPr>
        <w:t xml:space="preserve"> </w:t>
      </w:r>
      <w:r w:rsidR="009D5818">
        <w:rPr>
          <w:rFonts w:ascii="Arial" w:hAnsi="Arial" w:cs="Arial"/>
          <w:sz w:val="24"/>
          <w:szCs w:val="24"/>
        </w:rPr>
        <w:t xml:space="preserve">(le due cose non si escludono necessariamente a vicenda). </w:t>
      </w:r>
    </w:p>
    <w:p w14:paraId="30A56D02" w14:textId="71266D79" w:rsidR="00570EE1" w:rsidRDefault="00570EE1" w:rsidP="007507E1">
      <w:pPr>
        <w:pStyle w:val="Corpotesto"/>
        <w:ind w:right="45" w:firstLine="567"/>
        <w:jc w:val="both"/>
        <w:rPr>
          <w:rFonts w:ascii="Arial" w:hAnsi="Arial" w:cs="Arial"/>
          <w:sz w:val="24"/>
          <w:szCs w:val="24"/>
        </w:rPr>
      </w:pPr>
      <w:r>
        <w:rPr>
          <w:rFonts w:ascii="Arial" w:hAnsi="Arial" w:cs="Arial"/>
          <w:sz w:val="24"/>
          <w:szCs w:val="24"/>
        </w:rPr>
        <w:t xml:space="preserve">Considerando questa opzione, </w:t>
      </w:r>
      <w:r w:rsidR="00EE665F" w:rsidRPr="00793F44">
        <w:rPr>
          <w:rFonts w:ascii="Arial" w:hAnsi="Arial" w:cs="Arial"/>
          <w:i/>
          <w:iCs/>
          <w:sz w:val="24"/>
          <w:szCs w:val="24"/>
        </w:rPr>
        <w:t>l’organismo che pare essere deputato alla gestione di queste quantità di CO</w:t>
      </w:r>
      <w:r w:rsidR="00EE665F" w:rsidRPr="00423453">
        <w:rPr>
          <w:rFonts w:ascii="Arial" w:hAnsi="Arial" w:cs="Arial"/>
          <w:i/>
          <w:iCs/>
          <w:sz w:val="24"/>
          <w:szCs w:val="24"/>
          <w:vertAlign w:val="subscript"/>
        </w:rPr>
        <w:t>2</w:t>
      </w:r>
      <w:r w:rsidR="00EE665F" w:rsidRPr="00793F44">
        <w:rPr>
          <w:rFonts w:ascii="Arial" w:hAnsi="Arial" w:cs="Arial"/>
          <w:i/>
          <w:iCs/>
          <w:sz w:val="24"/>
          <w:szCs w:val="24"/>
        </w:rPr>
        <w:t xml:space="preserve"> che possono essere convertite in crediti ecosistemici</w:t>
      </w:r>
      <w:r w:rsidR="00EE665F">
        <w:rPr>
          <w:rFonts w:ascii="Arial" w:hAnsi="Arial" w:cs="Arial"/>
          <w:sz w:val="24"/>
          <w:szCs w:val="24"/>
        </w:rPr>
        <w:t xml:space="preserve"> </w:t>
      </w:r>
      <w:r w:rsidR="00EE665F" w:rsidRPr="0027646F">
        <w:rPr>
          <w:rFonts w:ascii="Arial" w:hAnsi="Arial" w:cs="Arial"/>
          <w:i/>
          <w:iCs/>
          <w:sz w:val="24"/>
          <w:szCs w:val="24"/>
        </w:rPr>
        <w:t>sono le Regioni</w:t>
      </w:r>
      <w:r w:rsidR="00EE665F">
        <w:rPr>
          <w:rFonts w:ascii="Arial" w:hAnsi="Arial" w:cs="Arial"/>
          <w:sz w:val="24"/>
          <w:szCs w:val="24"/>
        </w:rPr>
        <w:t>, per la semplice ragione che è a loro che è affidata la gestione forestale</w:t>
      </w:r>
      <w:r w:rsidR="005E0B4C">
        <w:rPr>
          <w:rFonts w:ascii="Arial" w:hAnsi="Arial" w:cs="Arial"/>
          <w:sz w:val="24"/>
          <w:szCs w:val="24"/>
        </w:rPr>
        <w:t xml:space="preserve"> pur nel quadro della Strategia Forestale Nazionale</w:t>
      </w:r>
      <w:r w:rsidR="00EE665F">
        <w:rPr>
          <w:rFonts w:ascii="Arial" w:hAnsi="Arial" w:cs="Arial"/>
          <w:sz w:val="24"/>
          <w:szCs w:val="24"/>
        </w:rPr>
        <w:t xml:space="preserve">. </w:t>
      </w:r>
      <w:r w:rsidR="006F69C4">
        <w:rPr>
          <w:rFonts w:ascii="Arial" w:hAnsi="Arial" w:cs="Arial"/>
          <w:sz w:val="24"/>
          <w:szCs w:val="24"/>
        </w:rPr>
        <w:t xml:space="preserve">Tale aspetto viene anche ribadito dal </w:t>
      </w:r>
      <w:r w:rsidR="009A5361">
        <w:rPr>
          <w:rFonts w:ascii="Arial" w:hAnsi="Arial" w:cs="Arial"/>
          <w:sz w:val="24"/>
          <w:szCs w:val="24"/>
        </w:rPr>
        <w:t xml:space="preserve">DL 34/2018 ovvero il Testo Unico in materia di foreste e filiere forestali. </w:t>
      </w:r>
      <w:r w:rsidR="000B5982">
        <w:rPr>
          <w:rFonts w:ascii="Arial" w:hAnsi="Arial" w:cs="Arial"/>
          <w:sz w:val="24"/>
          <w:szCs w:val="24"/>
        </w:rPr>
        <w:t>Natu</w:t>
      </w:r>
      <w:r w:rsidR="00B50B92">
        <w:rPr>
          <w:rFonts w:ascii="Arial" w:hAnsi="Arial" w:cs="Arial"/>
          <w:sz w:val="24"/>
          <w:szCs w:val="24"/>
        </w:rPr>
        <w:t xml:space="preserve">ralmente, </w:t>
      </w:r>
      <w:r w:rsidR="00C36857">
        <w:rPr>
          <w:rFonts w:ascii="Arial" w:hAnsi="Arial" w:cs="Arial"/>
          <w:sz w:val="24"/>
          <w:szCs w:val="24"/>
        </w:rPr>
        <w:t>affinché</w:t>
      </w:r>
      <w:r w:rsidR="00B50B92">
        <w:rPr>
          <w:rFonts w:ascii="Arial" w:hAnsi="Arial" w:cs="Arial"/>
          <w:sz w:val="24"/>
          <w:szCs w:val="24"/>
        </w:rPr>
        <w:t xml:space="preserve"> si possa creare una simile operazione, che richiede un atto normativo del Ministero in coordinamento con le Regioni, </w:t>
      </w:r>
      <w:r w:rsidR="00A269E5">
        <w:rPr>
          <w:rFonts w:ascii="Arial" w:hAnsi="Arial" w:cs="Arial"/>
          <w:sz w:val="24"/>
          <w:szCs w:val="24"/>
        </w:rPr>
        <w:t xml:space="preserve">occorre definire </w:t>
      </w:r>
      <w:r w:rsidR="00DC5598">
        <w:rPr>
          <w:rFonts w:ascii="Arial" w:hAnsi="Arial" w:cs="Arial"/>
          <w:sz w:val="24"/>
          <w:szCs w:val="24"/>
        </w:rPr>
        <w:t>procedure e regole ben precise, valutando anche la convenienza economica. Questi aspetti verranno discussi più oltre</w:t>
      </w:r>
      <w:r w:rsidR="00EB6B2E">
        <w:rPr>
          <w:rFonts w:ascii="Arial" w:hAnsi="Arial" w:cs="Arial"/>
          <w:sz w:val="24"/>
          <w:szCs w:val="24"/>
        </w:rPr>
        <w:t xml:space="preserve"> nelle conclusioni. </w:t>
      </w:r>
    </w:p>
    <w:p w14:paraId="25E07C9A" w14:textId="31C3FCAF" w:rsidR="00D534E1" w:rsidRDefault="00E52354" w:rsidP="007507E1">
      <w:pPr>
        <w:pStyle w:val="Corpotesto"/>
        <w:ind w:right="45" w:firstLine="567"/>
        <w:jc w:val="both"/>
        <w:rPr>
          <w:rFonts w:ascii="Arial" w:hAnsi="Arial" w:cs="Arial"/>
          <w:sz w:val="24"/>
          <w:szCs w:val="24"/>
        </w:rPr>
      </w:pPr>
      <w:r>
        <w:rPr>
          <w:rFonts w:ascii="Arial" w:hAnsi="Arial" w:cs="Arial"/>
          <w:sz w:val="24"/>
          <w:szCs w:val="24"/>
        </w:rPr>
        <w:t xml:space="preserve">Prima è necessario discutere il Regolamento 2018/841, che </w:t>
      </w:r>
      <w:r w:rsidR="00DE37AD">
        <w:rPr>
          <w:rFonts w:ascii="Arial" w:hAnsi="Arial" w:cs="Arial"/>
          <w:sz w:val="24"/>
          <w:szCs w:val="24"/>
        </w:rPr>
        <w:t>ha molteplici implicazioni per il settore forestale</w:t>
      </w:r>
      <w:r w:rsidR="00076117">
        <w:rPr>
          <w:rFonts w:ascii="Arial" w:hAnsi="Arial" w:cs="Arial"/>
          <w:sz w:val="24"/>
          <w:szCs w:val="24"/>
        </w:rPr>
        <w:t xml:space="preserve">, perché non è possibile attuare alcun meccanismo di flessibilità se non viene rispettato questo Regolamento per il settore LULUCF. </w:t>
      </w:r>
    </w:p>
    <w:p w14:paraId="45DC9CCA" w14:textId="77777777" w:rsidR="00B95743" w:rsidRDefault="00B95743" w:rsidP="00420AE2">
      <w:pPr>
        <w:pStyle w:val="Corpotesto"/>
        <w:ind w:right="45" w:firstLine="567"/>
        <w:jc w:val="both"/>
        <w:rPr>
          <w:rFonts w:ascii="Arial" w:hAnsi="Arial" w:cs="Arial"/>
          <w:sz w:val="24"/>
          <w:szCs w:val="24"/>
        </w:rPr>
      </w:pPr>
    </w:p>
    <w:p w14:paraId="05DBE175" w14:textId="5F65032B" w:rsidR="009051A0" w:rsidRDefault="009051A0" w:rsidP="00B641A9">
      <w:pPr>
        <w:pStyle w:val="Corpotesto"/>
        <w:ind w:right="45" w:firstLine="567"/>
        <w:jc w:val="both"/>
        <w:rPr>
          <w:rFonts w:ascii="Arial" w:hAnsi="Arial" w:cs="Arial"/>
          <w:sz w:val="24"/>
          <w:szCs w:val="24"/>
        </w:rPr>
      </w:pPr>
    </w:p>
    <w:p w14:paraId="4B74DB78" w14:textId="175D8B77" w:rsidR="00CD5A3A" w:rsidRDefault="00CD5A3A" w:rsidP="00CD5A3A">
      <w:pPr>
        <w:pStyle w:val="Titolo1"/>
      </w:pPr>
      <w:bookmarkStart w:id="8" w:name="_Toc74265397"/>
      <w:r>
        <w:t>Il Regolamento 841/201</w:t>
      </w:r>
      <w:r w:rsidR="00197237">
        <w:t>8</w:t>
      </w:r>
      <w:r>
        <w:t xml:space="preserve"> e la normativa LULUCF</w:t>
      </w:r>
      <w:bookmarkEnd w:id="8"/>
    </w:p>
    <w:p w14:paraId="5D146A33" w14:textId="3216FCC0" w:rsidR="00CD5A3A" w:rsidRDefault="00CD5A3A" w:rsidP="00CD5A3A">
      <w:pPr>
        <w:pStyle w:val="Corpotesto"/>
        <w:ind w:right="45"/>
        <w:jc w:val="both"/>
        <w:rPr>
          <w:rFonts w:ascii="Arial" w:hAnsi="Arial" w:cs="Arial"/>
          <w:sz w:val="24"/>
          <w:szCs w:val="24"/>
        </w:rPr>
      </w:pPr>
    </w:p>
    <w:p w14:paraId="44276452" w14:textId="33F21169" w:rsidR="00A51D3B" w:rsidRDefault="00A51D3B" w:rsidP="00194A01">
      <w:pPr>
        <w:pStyle w:val="Corpotesto"/>
        <w:ind w:right="45" w:firstLine="567"/>
        <w:jc w:val="both"/>
        <w:rPr>
          <w:rFonts w:ascii="Arial" w:hAnsi="Arial" w:cs="Arial"/>
          <w:sz w:val="24"/>
          <w:szCs w:val="24"/>
        </w:rPr>
      </w:pPr>
      <w:r w:rsidRPr="00FA76A9">
        <w:rPr>
          <w:rFonts w:ascii="Arial" w:hAnsi="Arial" w:cs="Arial"/>
          <w:sz w:val="24"/>
          <w:szCs w:val="24"/>
        </w:rPr>
        <w:t xml:space="preserve">Il Regolamento 841/2018 rappresenta non solo </w:t>
      </w:r>
      <w:r w:rsidR="00194A01" w:rsidRPr="00FA76A9">
        <w:rPr>
          <w:rFonts w:ascii="Arial" w:hAnsi="Arial" w:cs="Arial"/>
          <w:sz w:val="24"/>
          <w:szCs w:val="24"/>
        </w:rPr>
        <w:t xml:space="preserve">l’elemento di raccordo tra il settore LULUCF e l’implementazione degli Accordi di Parigi da parte dell’Unione Europea, ma è anche un tassello importante della nuova strategia forestale che l’Unione sta mettendo in atto nell’ambito del Green </w:t>
      </w:r>
      <w:proofErr w:type="spellStart"/>
      <w:r w:rsidR="00194A01" w:rsidRPr="00FA76A9">
        <w:rPr>
          <w:rFonts w:ascii="Arial" w:hAnsi="Arial" w:cs="Arial"/>
          <w:sz w:val="24"/>
          <w:szCs w:val="24"/>
        </w:rPr>
        <w:t>Deal</w:t>
      </w:r>
      <w:proofErr w:type="spellEnd"/>
      <w:r w:rsidR="00194A01" w:rsidRPr="00FA76A9">
        <w:rPr>
          <w:rFonts w:ascii="Arial" w:hAnsi="Arial" w:cs="Arial"/>
          <w:sz w:val="24"/>
          <w:szCs w:val="24"/>
        </w:rPr>
        <w:t>, che dovrebbe essere varata entro il 2021. Infatti, nonostante il settore LULUCF riguardi anche ambiti non specificamente forestali, come i pascoli, le terre coltivate, le aree umide, l’elemento portante di questo settore sono le</w:t>
      </w:r>
      <w:r w:rsidR="00194A01">
        <w:rPr>
          <w:rFonts w:ascii="Arial" w:hAnsi="Arial" w:cs="Arial"/>
          <w:sz w:val="24"/>
          <w:szCs w:val="24"/>
        </w:rPr>
        <w:t xml:space="preserve"> foreste che diventano altri terreni o viceversa nonché le foreste che rimangono tali. </w:t>
      </w:r>
    </w:p>
    <w:p w14:paraId="6892A66F" w14:textId="6A42B1DE" w:rsidR="00194A01" w:rsidRDefault="00C36857" w:rsidP="00194A01">
      <w:pPr>
        <w:pStyle w:val="Corpotesto"/>
        <w:ind w:right="45" w:firstLine="567"/>
        <w:jc w:val="both"/>
        <w:rPr>
          <w:rFonts w:ascii="Arial" w:hAnsi="Arial" w:cs="Arial"/>
          <w:sz w:val="24"/>
          <w:szCs w:val="24"/>
        </w:rPr>
      </w:pPr>
      <w:r>
        <w:rPr>
          <w:rFonts w:ascii="Arial" w:hAnsi="Arial" w:cs="Arial"/>
          <w:sz w:val="24"/>
          <w:szCs w:val="24"/>
        </w:rPr>
        <w:t>È</w:t>
      </w:r>
      <w:r w:rsidR="00194A01">
        <w:rPr>
          <w:rFonts w:ascii="Arial" w:hAnsi="Arial" w:cs="Arial"/>
          <w:sz w:val="24"/>
          <w:szCs w:val="24"/>
        </w:rPr>
        <w:t xml:space="preserve"> palese che la definizione di sistema di contabilizzazione per il settore LULUCF e il suo inserimento nel quadro della strategia europea sul clima rappresenta</w:t>
      </w:r>
      <w:r>
        <w:rPr>
          <w:rFonts w:ascii="Arial" w:hAnsi="Arial" w:cs="Arial"/>
          <w:sz w:val="24"/>
          <w:szCs w:val="24"/>
        </w:rPr>
        <w:t>no</w:t>
      </w:r>
      <w:r w:rsidR="00194A01">
        <w:rPr>
          <w:rFonts w:ascii="Arial" w:hAnsi="Arial" w:cs="Arial"/>
          <w:sz w:val="24"/>
          <w:szCs w:val="24"/>
        </w:rPr>
        <w:t xml:space="preserve"> un elemento centrale dell’obbiettivo di fare delle foreste europee un pozzo di assorbimento di carbonio che abbia un ruolo rilevante nella strategia di neutralità carbonica al 2050. </w:t>
      </w:r>
    </w:p>
    <w:p w14:paraId="2FA0F418" w14:textId="42776C82" w:rsidR="00194A01" w:rsidRDefault="00194A01" w:rsidP="00194A01">
      <w:pPr>
        <w:pStyle w:val="Corpotesto"/>
        <w:ind w:right="45" w:firstLine="567"/>
        <w:jc w:val="both"/>
        <w:rPr>
          <w:rFonts w:ascii="Arial" w:hAnsi="Arial" w:cs="Arial"/>
          <w:sz w:val="24"/>
          <w:szCs w:val="24"/>
        </w:rPr>
      </w:pPr>
      <w:r>
        <w:rPr>
          <w:rFonts w:ascii="Arial" w:hAnsi="Arial" w:cs="Arial"/>
          <w:sz w:val="24"/>
          <w:szCs w:val="24"/>
        </w:rPr>
        <w:t>Per evidenziare tutti gli elementi importanti di questo Regolamento per i servizi ecosistemici studiati nel Progetto e per l’emissione dei relativi crediti di sostenibilità è necessario analizzar</w:t>
      </w:r>
      <w:r w:rsidR="00C30779">
        <w:rPr>
          <w:rFonts w:ascii="Arial" w:hAnsi="Arial" w:cs="Arial"/>
          <w:sz w:val="24"/>
          <w:szCs w:val="24"/>
        </w:rPr>
        <w:t xml:space="preserve">lo in </w:t>
      </w:r>
      <w:r>
        <w:rPr>
          <w:rFonts w:ascii="Arial" w:hAnsi="Arial" w:cs="Arial"/>
          <w:sz w:val="24"/>
          <w:szCs w:val="24"/>
        </w:rPr>
        <w:t xml:space="preserve">tutte le parti, a partire dalle </w:t>
      </w:r>
      <w:r w:rsidR="00701B92">
        <w:rPr>
          <w:rFonts w:ascii="Arial" w:hAnsi="Arial" w:cs="Arial"/>
          <w:sz w:val="24"/>
          <w:szCs w:val="24"/>
        </w:rPr>
        <w:t xml:space="preserve">Premesse Principali, riportate </w:t>
      </w:r>
      <w:r w:rsidR="00701B92" w:rsidRPr="00D11BDC">
        <w:rPr>
          <w:rFonts w:ascii="Arial" w:hAnsi="Arial" w:cs="Arial"/>
          <w:sz w:val="24"/>
          <w:szCs w:val="24"/>
        </w:rPr>
        <w:t xml:space="preserve">nella Tabella </w:t>
      </w:r>
      <w:r w:rsidR="00D11BDC" w:rsidRPr="00D11BDC">
        <w:rPr>
          <w:rFonts w:ascii="Arial" w:hAnsi="Arial" w:cs="Arial"/>
          <w:sz w:val="24"/>
          <w:szCs w:val="24"/>
        </w:rPr>
        <w:t>3</w:t>
      </w:r>
    </w:p>
    <w:p w14:paraId="3555BE66" w14:textId="3576248D" w:rsidR="0079616E" w:rsidRDefault="0079616E" w:rsidP="00CD5A3A">
      <w:pPr>
        <w:pStyle w:val="Corpotesto"/>
        <w:ind w:right="45"/>
        <w:jc w:val="both"/>
        <w:rPr>
          <w:rFonts w:ascii="Arial" w:hAnsi="Arial" w:cs="Arial"/>
          <w:sz w:val="24"/>
          <w:szCs w:val="24"/>
        </w:rPr>
      </w:pPr>
    </w:p>
    <w:p w14:paraId="0BB2BC05" w14:textId="6EB51C14" w:rsidR="0079616E" w:rsidRPr="00F9000A" w:rsidRDefault="0079616E" w:rsidP="0079616E">
      <w:pPr>
        <w:pStyle w:val="Corpotesto"/>
        <w:ind w:right="45"/>
        <w:jc w:val="both"/>
        <w:rPr>
          <w:rFonts w:ascii="Arial" w:hAnsi="Arial" w:cs="Arial"/>
          <w:b/>
          <w:bCs/>
          <w:sz w:val="24"/>
          <w:szCs w:val="24"/>
        </w:rPr>
      </w:pPr>
      <w:r w:rsidRPr="00F9000A">
        <w:rPr>
          <w:rFonts w:ascii="Arial" w:hAnsi="Arial" w:cs="Arial"/>
          <w:b/>
          <w:bCs/>
          <w:sz w:val="24"/>
          <w:szCs w:val="24"/>
        </w:rPr>
        <w:lastRenderedPageBreak/>
        <w:t xml:space="preserve">Tabella </w:t>
      </w:r>
      <w:r w:rsidR="00D11BDC">
        <w:rPr>
          <w:rFonts w:ascii="Arial" w:hAnsi="Arial" w:cs="Arial"/>
          <w:b/>
          <w:bCs/>
          <w:sz w:val="24"/>
          <w:szCs w:val="24"/>
        </w:rPr>
        <w:t>3</w:t>
      </w:r>
      <w:r w:rsidRPr="00F9000A">
        <w:rPr>
          <w:rFonts w:ascii="Arial" w:hAnsi="Arial" w:cs="Arial"/>
          <w:b/>
          <w:bCs/>
          <w:sz w:val="24"/>
          <w:szCs w:val="24"/>
        </w:rPr>
        <w:t xml:space="preserve"> - </w:t>
      </w:r>
      <w:r>
        <w:rPr>
          <w:rFonts w:ascii="Arial" w:hAnsi="Arial" w:cs="Arial"/>
          <w:b/>
          <w:bCs/>
          <w:sz w:val="24"/>
          <w:szCs w:val="24"/>
        </w:rPr>
        <w:t>Premesse</w:t>
      </w:r>
      <w:r w:rsidRPr="00F9000A">
        <w:rPr>
          <w:rFonts w:ascii="Arial" w:hAnsi="Arial" w:cs="Arial"/>
          <w:b/>
          <w:bCs/>
          <w:sz w:val="24"/>
          <w:szCs w:val="24"/>
        </w:rPr>
        <w:t xml:space="preserve"> rilevanti nel Regolamento 84</w:t>
      </w:r>
      <w:r>
        <w:rPr>
          <w:rFonts w:ascii="Arial" w:hAnsi="Arial" w:cs="Arial"/>
          <w:b/>
          <w:bCs/>
          <w:sz w:val="24"/>
          <w:szCs w:val="24"/>
        </w:rPr>
        <w:t>1</w:t>
      </w:r>
      <w:r w:rsidRPr="00F9000A">
        <w:rPr>
          <w:rFonts w:ascii="Arial" w:hAnsi="Arial" w:cs="Arial"/>
          <w:b/>
          <w:bCs/>
          <w:sz w:val="24"/>
          <w:szCs w:val="24"/>
        </w:rPr>
        <w:t>/2018</w:t>
      </w:r>
    </w:p>
    <w:tbl>
      <w:tblPr>
        <w:tblStyle w:val="Grigliatabella"/>
        <w:tblW w:w="0" w:type="auto"/>
        <w:tblLook w:val="04A0" w:firstRow="1" w:lastRow="0" w:firstColumn="1" w:lastColumn="0" w:noHBand="0" w:noVBand="1"/>
      </w:tblPr>
      <w:tblGrid>
        <w:gridCol w:w="1168"/>
        <w:gridCol w:w="8611"/>
      </w:tblGrid>
      <w:tr w:rsidR="00CD5A3A" w:rsidRPr="0008297C" w14:paraId="18BF6759" w14:textId="77777777" w:rsidTr="0079616E">
        <w:tc>
          <w:tcPr>
            <w:tcW w:w="1168" w:type="dxa"/>
          </w:tcPr>
          <w:p w14:paraId="0F7B0989" w14:textId="77777777" w:rsidR="00CD5A3A" w:rsidRPr="0008297C" w:rsidRDefault="00CD5A3A" w:rsidP="00296576">
            <w:pPr>
              <w:pStyle w:val="Corpotesto"/>
              <w:ind w:right="45"/>
              <w:jc w:val="center"/>
              <w:rPr>
                <w:rFonts w:ascii="Arial" w:hAnsi="Arial" w:cs="Arial"/>
                <w:b/>
                <w:bCs/>
                <w:sz w:val="24"/>
                <w:szCs w:val="24"/>
              </w:rPr>
            </w:pPr>
            <w:r w:rsidRPr="0008297C">
              <w:rPr>
                <w:rFonts w:ascii="Arial" w:hAnsi="Arial" w:cs="Arial"/>
                <w:b/>
                <w:bCs/>
                <w:sz w:val="24"/>
                <w:szCs w:val="24"/>
              </w:rPr>
              <w:t>Articolo</w:t>
            </w:r>
          </w:p>
        </w:tc>
        <w:tc>
          <w:tcPr>
            <w:tcW w:w="8611" w:type="dxa"/>
          </w:tcPr>
          <w:p w14:paraId="7E297D78" w14:textId="77777777" w:rsidR="00CD5A3A" w:rsidRPr="0008297C" w:rsidRDefault="00CD5A3A" w:rsidP="00296576">
            <w:pPr>
              <w:pStyle w:val="Corpotesto"/>
              <w:ind w:right="45"/>
              <w:jc w:val="center"/>
              <w:rPr>
                <w:rFonts w:ascii="Arial" w:hAnsi="Arial" w:cs="Arial"/>
                <w:b/>
                <w:bCs/>
                <w:sz w:val="24"/>
                <w:szCs w:val="24"/>
              </w:rPr>
            </w:pPr>
            <w:r>
              <w:rPr>
                <w:rFonts w:ascii="Arial" w:hAnsi="Arial" w:cs="Arial"/>
                <w:b/>
                <w:bCs/>
                <w:sz w:val="24"/>
                <w:szCs w:val="24"/>
              </w:rPr>
              <w:t>Elementi rilevanti enunciati nelle premesse</w:t>
            </w:r>
          </w:p>
        </w:tc>
      </w:tr>
      <w:tr w:rsidR="00CD5A3A" w14:paraId="5B36A45F" w14:textId="77777777" w:rsidTr="0079616E">
        <w:tc>
          <w:tcPr>
            <w:tcW w:w="1168" w:type="dxa"/>
          </w:tcPr>
          <w:p w14:paraId="01EC7377" w14:textId="4E06124B" w:rsidR="00CD5A3A" w:rsidRPr="00575F69" w:rsidRDefault="0036605E" w:rsidP="00296576">
            <w:pPr>
              <w:pStyle w:val="Corpotesto"/>
              <w:ind w:right="45"/>
              <w:jc w:val="both"/>
              <w:rPr>
                <w:rFonts w:ascii="Arial" w:hAnsi="Arial" w:cs="Arial"/>
                <w:sz w:val="20"/>
                <w:szCs w:val="20"/>
              </w:rPr>
            </w:pPr>
            <w:r>
              <w:rPr>
                <w:rFonts w:ascii="Arial" w:hAnsi="Arial" w:cs="Arial"/>
                <w:sz w:val="20"/>
                <w:szCs w:val="20"/>
              </w:rPr>
              <w:t>Premessa 3</w:t>
            </w:r>
          </w:p>
        </w:tc>
        <w:tc>
          <w:tcPr>
            <w:tcW w:w="8611" w:type="dxa"/>
          </w:tcPr>
          <w:p w14:paraId="67163D32" w14:textId="28B40E3F" w:rsidR="00CD5A3A" w:rsidRPr="007E1A4F" w:rsidRDefault="006F6A27" w:rsidP="00384BB0">
            <w:pPr>
              <w:widowControl/>
              <w:adjustRightInd w:val="0"/>
              <w:rPr>
                <w:rFonts w:ascii="Arial" w:hAnsi="Arial" w:cs="Arial"/>
                <w:sz w:val="20"/>
                <w:szCs w:val="20"/>
              </w:rPr>
            </w:pPr>
            <w:r w:rsidRPr="007E1A4F">
              <w:rPr>
                <w:rFonts w:ascii="Arial" w:eastAsiaTheme="minorHAnsi" w:hAnsi="Arial" w:cs="Arial"/>
                <w:sz w:val="20"/>
                <w:szCs w:val="20"/>
              </w:rPr>
              <w:t>Si afferma che “Il presente regolamento è uno degli strumenti di attuazione degli impegni assunti dall’Unione nell’ambito dell’accordo di Parigi, adottato nell’ambito della convenzione quadro delle Nazioni Unite sui cambiamenti climatici</w:t>
            </w:r>
            <w:r w:rsidR="00384BB0" w:rsidRPr="007E1A4F">
              <w:rPr>
                <w:rFonts w:ascii="Arial" w:eastAsiaTheme="minorHAnsi" w:hAnsi="Arial" w:cs="Arial"/>
                <w:sz w:val="20"/>
                <w:szCs w:val="20"/>
              </w:rPr>
              <w:t xml:space="preserve"> </w:t>
            </w:r>
            <w:r w:rsidRPr="007E1A4F">
              <w:rPr>
                <w:rFonts w:ascii="Arial" w:eastAsiaTheme="minorHAnsi" w:hAnsi="Arial" w:cs="Arial"/>
                <w:sz w:val="20"/>
                <w:szCs w:val="20"/>
              </w:rPr>
              <w:t>(«UNF CCC»).</w:t>
            </w:r>
          </w:p>
        </w:tc>
      </w:tr>
      <w:tr w:rsidR="00CD5A3A" w14:paraId="65FE64C2" w14:textId="77777777" w:rsidTr="0079616E">
        <w:tc>
          <w:tcPr>
            <w:tcW w:w="1168" w:type="dxa"/>
          </w:tcPr>
          <w:p w14:paraId="5A4CAEFF" w14:textId="0AE4E989" w:rsidR="00CD5A3A" w:rsidRPr="00575F69" w:rsidRDefault="00A91763" w:rsidP="00296576">
            <w:pPr>
              <w:pStyle w:val="Corpotesto"/>
              <w:ind w:right="45"/>
              <w:jc w:val="both"/>
              <w:rPr>
                <w:rFonts w:ascii="Arial" w:hAnsi="Arial" w:cs="Arial"/>
                <w:sz w:val="20"/>
                <w:szCs w:val="20"/>
              </w:rPr>
            </w:pPr>
            <w:r>
              <w:rPr>
                <w:rFonts w:ascii="Arial" w:hAnsi="Arial" w:cs="Arial"/>
                <w:sz w:val="20"/>
                <w:szCs w:val="20"/>
              </w:rPr>
              <w:t>Premess</w:t>
            </w:r>
            <w:r w:rsidR="0097168B">
              <w:rPr>
                <w:rFonts w:ascii="Arial" w:hAnsi="Arial" w:cs="Arial"/>
                <w:sz w:val="20"/>
                <w:szCs w:val="20"/>
              </w:rPr>
              <w:t>e</w:t>
            </w:r>
            <w:r>
              <w:rPr>
                <w:rFonts w:ascii="Arial" w:hAnsi="Arial" w:cs="Arial"/>
                <w:sz w:val="20"/>
                <w:szCs w:val="20"/>
              </w:rPr>
              <w:t xml:space="preserve"> 5</w:t>
            </w:r>
            <w:r w:rsidR="0097168B">
              <w:rPr>
                <w:rFonts w:ascii="Arial" w:hAnsi="Arial" w:cs="Arial"/>
                <w:sz w:val="20"/>
                <w:szCs w:val="20"/>
              </w:rPr>
              <w:t xml:space="preserve"> e 6</w:t>
            </w:r>
          </w:p>
        </w:tc>
        <w:tc>
          <w:tcPr>
            <w:tcW w:w="8611" w:type="dxa"/>
          </w:tcPr>
          <w:p w14:paraId="3698AC60" w14:textId="46623A11" w:rsidR="00934E9D" w:rsidRPr="007E1A4F" w:rsidRDefault="00934E9D" w:rsidP="00DB0646">
            <w:pPr>
              <w:widowControl/>
              <w:adjustRightInd w:val="0"/>
              <w:rPr>
                <w:rFonts w:ascii="Arial" w:eastAsiaTheme="minorHAnsi" w:hAnsi="Arial" w:cs="Arial"/>
                <w:sz w:val="20"/>
                <w:szCs w:val="20"/>
              </w:rPr>
            </w:pPr>
            <w:r w:rsidRPr="007E1A4F">
              <w:rPr>
                <w:rFonts w:ascii="Arial" w:eastAsiaTheme="minorHAnsi" w:hAnsi="Arial" w:cs="Arial"/>
                <w:sz w:val="20"/>
                <w:szCs w:val="20"/>
              </w:rPr>
              <w:t xml:space="preserve">P.5 </w:t>
            </w:r>
            <w:r w:rsidR="005E67EA">
              <w:rPr>
                <w:rFonts w:ascii="Arial" w:eastAsiaTheme="minorHAnsi" w:hAnsi="Arial" w:cs="Arial"/>
                <w:sz w:val="20"/>
                <w:szCs w:val="20"/>
              </w:rPr>
              <w:t xml:space="preserve">[…] </w:t>
            </w:r>
            <w:r w:rsidR="00A91763" w:rsidRPr="007E1A4F">
              <w:rPr>
                <w:rFonts w:ascii="Arial" w:eastAsiaTheme="minorHAnsi" w:hAnsi="Arial" w:cs="Arial"/>
                <w:sz w:val="20"/>
                <w:szCs w:val="20"/>
              </w:rPr>
              <w:t>Poiché gli assorbimenti attraverso il settore LULUCF sono reversibili, essi dovrebbero essere trattati come un pilastro distinto del quadro per le politiche del clima dell’Unione.</w:t>
            </w:r>
          </w:p>
          <w:p w14:paraId="4AE24859" w14:textId="6F7A55B8" w:rsidR="00CD5A3A" w:rsidRPr="007E1A4F" w:rsidRDefault="00934E9D" w:rsidP="00D93275">
            <w:pPr>
              <w:widowControl/>
              <w:adjustRightInd w:val="0"/>
              <w:rPr>
                <w:rFonts w:ascii="Arial" w:hAnsi="Arial" w:cs="Arial"/>
                <w:sz w:val="20"/>
                <w:szCs w:val="20"/>
              </w:rPr>
            </w:pPr>
            <w:r w:rsidRPr="007E1A4F">
              <w:rPr>
                <w:rFonts w:ascii="Arial" w:eastAsiaTheme="minorHAnsi" w:hAnsi="Arial" w:cs="Arial"/>
                <w:sz w:val="20"/>
                <w:szCs w:val="20"/>
              </w:rPr>
              <w:t xml:space="preserve">P. 6 </w:t>
            </w:r>
            <w:r w:rsidR="00D93275" w:rsidRPr="007E1A4F">
              <w:rPr>
                <w:rFonts w:ascii="Arial" w:eastAsiaTheme="minorHAnsi" w:hAnsi="Arial" w:cs="Arial"/>
                <w:sz w:val="20"/>
                <w:szCs w:val="20"/>
              </w:rPr>
              <w:t>Il Consiglio europeo ha invitato la Commissione</w:t>
            </w:r>
            <w:r w:rsidRPr="007E1A4F">
              <w:rPr>
                <w:rFonts w:ascii="Arial" w:eastAsiaTheme="minorHAnsi" w:hAnsi="Arial" w:cs="Arial"/>
                <w:sz w:val="20"/>
                <w:szCs w:val="20"/>
              </w:rPr>
              <w:t>….</w:t>
            </w:r>
            <w:r w:rsidR="0034481B">
              <w:rPr>
                <w:rFonts w:ascii="Arial" w:eastAsiaTheme="minorHAnsi" w:hAnsi="Arial" w:cs="Arial"/>
                <w:sz w:val="20"/>
                <w:szCs w:val="20"/>
              </w:rPr>
              <w:t xml:space="preserve"> a</w:t>
            </w:r>
            <w:r w:rsidRPr="007E1A4F">
              <w:rPr>
                <w:rFonts w:ascii="Arial" w:eastAsiaTheme="minorHAnsi" w:hAnsi="Arial" w:cs="Arial"/>
                <w:sz w:val="20"/>
                <w:szCs w:val="20"/>
              </w:rPr>
              <w:t>.</w:t>
            </w:r>
            <w:r w:rsidR="00DB0646" w:rsidRPr="007E1A4F">
              <w:rPr>
                <w:rFonts w:ascii="Arial" w:eastAsiaTheme="minorHAnsi" w:hAnsi="Arial" w:cs="Arial"/>
                <w:sz w:val="20"/>
                <w:szCs w:val="20"/>
              </w:rPr>
              <w:t xml:space="preserve"> definire una politica sulle modalità di inclusione del settore LULUCF nel quadro 2030 per la mitigazione degli</w:t>
            </w:r>
            <w:r w:rsidR="00D93275" w:rsidRPr="007E1A4F">
              <w:rPr>
                <w:rFonts w:ascii="Arial" w:eastAsiaTheme="minorHAnsi" w:hAnsi="Arial" w:cs="Arial"/>
                <w:sz w:val="20"/>
                <w:szCs w:val="20"/>
              </w:rPr>
              <w:t xml:space="preserve"> </w:t>
            </w:r>
            <w:r w:rsidR="00DB0646" w:rsidRPr="007E1A4F">
              <w:rPr>
                <w:rFonts w:ascii="Arial" w:eastAsiaTheme="minorHAnsi" w:hAnsi="Arial" w:cs="Arial"/>
                <w:sz w:val="20"/>
                <w:szCs w:val="20"/>
              </w:rPr>
              <w:t>effetti dei gas a effetto serra non appena le condizioni tecniche lo consentano e comunque prima del 2020</w:t>
            </w:r>
            <w:r w:rsidR="0097168B" w:rsidRPr="007E1A4F">
              <w:rPr>
                <w:rFonts w:ascii="Arial" w:eastAsiaTheme="minorHAnsi" w:hAnsi="Arial" w:cs="Arial"/>
                <w:sz w:val="20"/>
                <w:szCs w:val="20"/>
              </w:rPr>
              <w:t>.</w:t>
            </w:r>
          </w:p>
        </w:tc>
      </w:tr>
      <w:tr w:rsidR="00CD5A3A" w14:paraId="6F5FF699" w14:textId="77777777" w:rsidTr="0079616E">
        <w:tc>
          <w:tcPr>
            <w:tcW w:w="1168" w:type="dxa"/>
          </w:tcPr>
          <w:p w14:paraId="6B6C4BED" w14:textId="176B2D6D" w:rsidR="00CD5A3A" w:rsidRPr="00575F69" w:rsidRDefault="006E29E3" w:rsidP="00296576">
            <w:pPr>
              <w:pStyle w:val="Corpotesto"/>
              <w:ind w:right="45"/>
              <w:jc w:val="both"/>
              <w:rPr>
                <w:rFonts w:ascii="Arial" w:hAnsi="Arial" w:cs="Arial"/>
                <w:sz w:val="20"/>
                <w:szCs w:val="20"/>
              </w:rPr>
            </w:pPr>
            <w:r>
              <w:rPr>
                <w:rFonts w:ascii="Arial" w:hAnsi="Arial" w:cs="Arial"/>
                <w:sz w:val="20"/>
                <w:szCs w:val="20"/>
              </w:rPr>
              <w:t>Premesse 7</w:t>
            </w:r>
            <w:r w:rsidR="00517471">
              <w:rPr>
                <w:rFonts w:ascii="Arial" w:hAnsi="Arial" w:cs="Arial"/>
                <w:sz w:val="20"/>
                <w:szCs w:val="20"/>
              </w:rPr>
              <w:t xml:space="preserve"> e</w:t>
            </w:r>
            <w:r w:rsidR="00CF2CA3">
              <w:rPr>
                <w:rFonts w:ascii="Arial" w:hAnsi="Arial" w:cs="Arial"/>
                <w:sz w:val="20"/>
                <w:szCs w:val="20"/>
              </w:rPr>
              <w:t xml:space="preserve"> 8 </w:t>
            </w:r>
          </w:p>
        </w:tc>
        <w:tc>
          <w:tcPr>
            <w:tcW w:w="8611" w:type="dxa"/>
          </w:tcPr>
          <w:p w14:paraId="34A9C10E" w14:textId="12AC0A0F" w:rsidR="00CD5A3A" w:rsidRPr="007E1A4F" w:rsidRDefault="006E29E3" w:rsidP="00296576">
            <w:pPr>
              <w:pStyle w:val="Corpotesto"/>
              <w:ind w:right="45"/>
              <w:jc w:val="both"/>
              <w:rPr>
                <w:rFonts w:ascii="Arial" w:hAnsi="Arial" w:cs="Arial"/>
                <w:sz w:val="20"/>
                <w:szCs w:val="20"/>
              </w:rPr>
            </w:pPr>
            <w:r w:rsidRPr="007E1A4F">
              <w:rPr>
                <w:rFonts w:ascii="Arial" w:hAnsi="Arial" w:cs="Arial"/>
                <w:sz w:val="20"/>
                <w:szCs w:val="20"/>
              </w:rPr>
              <w:t xml:space="preserve">Nella premessa </w:t>
            </w:r>
            <w:proofErr w:type="gramStart"/>
            <w:r w:rsidRPr="007E1A4F">
              <w:rPr>
                <w:rFonts w:ascii="Arial" w:hAnsi="Arial" w:cs="Arial"/>
                <w:sz w:val="20"/>
                <w:szCs w:val="20"/>
              </w:rPr>
              <w:t>7</w:t>
            </w:r>
            <w:proofErr w:type="gramEnd"/>
            <w:r w:rsidRPr="007E1A4F">
              <w:rPr>
                <w:rFonts w:ascii="Arial" w:hAnsi="Arial" w:cs="Arial"/>
                <w:sz w:val="20"/>
                <w:szCs w:val="20"/>
              </w:rPr>
              <w:t xml:space="preserve"> si afferma </w:t>
            </w:r>
            <w:r w:rsidR="006F391B" w:rsidRPr="007E1A4F">
              <w:rPr>
                <w:rFonts w:ascii="Arial" w:hAnsi="Arial" w:cs="Arial"/>
                <w:sz w:val="20"/>
                <w:szCs w:val="20"/>
              </w:rPr>
              <w:t>l’importanza delle pratiche di gestione sostenibile a lungo termine</w:t>
            </w:r>
            <w:r w:rsidR="00895D3F" w:rsidRPr="007E1A4F">
              <w:rPr>
                <w:rFonts w:ascii="Arial" w:hAnsi="Arial" w:cs="Arial"/>
                <w:sz w:val="20"/>
                <w:szCs w:val="20"/>
              </w:rPr>
              <w:t xml:space="preserve"> e delle attività di riduzione dell’impronta carbonica del settore LULUCF. Premessa</w:t>
            </w:r>
            <w:r w:rsidR="000206A3" w:rsidRPr="007E1A4F">
              <w:rPr>
                <w:rFonts w:ascii="Arial" w:hAnsi="Arial" w:cs="Arial"/>
                <w:sz w:val="20"/>
                <w:szCs w:val="20"/>
              </w:rPr>
              <w:t xml:space="preserve"> 8 si considerano importanti anche le attività di prevenzio</w:t>
            </w:r>
            <w:r w:rsidR="00DA431A" w:rsidRPr="007E1A4F">
              <w:rPr>
                <w:rFonts w:ascii="Arial" w:hAnsi="Arial" w:cs="Arial"/>
                <w:sz w:val="20"/>
                <w:szCs w:val="20"/>
              </w:rPr>
              <w:t xml:space="preserve">ne da rischi naturali, dato il lungo periodo associato al settore LULUCF. </w:t>
            </w:r>
          </w:p>
        </w:tc>
      </w:tr>
      <w:tr w:rsidR="00451AC6" w14:paraId="27AB74D7" w14:textId="77777777" w:rsidTr="0079616E">
        <w:tc>
          <w:tcPr>
            <w:tcW w:w="1168" w:type="dxa"/>
          </w:tcPr>
          <w:p w14:paraId="3EB9F864" w14:textId="15A04C16" w:rsidR="00451AC6" w:rsidRPr="00575F69" w:rsidRDefault="00451AC6" w:rsidP="00296576">
            <w:pPr>
              <w:pStyle w:val="Corpotesto"/>
              <w:ind w:right="45"/>
              <w:jc w:val="both"/>
              <w:rPr>
                <w:rFonts w:ascii="Arial" w:hAnsi="Arial" w:cs="Arial"/>
                <w:sz w:val="20"/>
                <w:szCs w:val="20"/>
              </w:rPr>
            </w:pPr>
            <w:r>
              <w:rPr>
                <w:rFonts w:ascii="Arial" w:hAnsi="Arial" w:cs="Arial"/>
                <w:sz w:val="20"/>
                <w:szCs w:val="20"/>
              </w:rPr>
              <w:t>Premessa 22</w:t>
            </w:r>
          </w:p>
        </w:tc>
        <w:tc>
          <w:tcPr>
            <w:tcW w:w="8611" w:type="dxa"/>
          </w:tcPr>
          <w:p w14:paraId="7F7ADE34" w14:textId="288E9749" w:rsidR="00451AC6" w:rsidRPr="007E1A4F" w:rsidRDefault="006678AE" w:rsidP="009C4AD2">
            <w:pPr>
              <w:pStyle w:val="Corpotesto"/>
              <w:ind w:right="45"/>
              <w:jc w:val="both"/>
              <w:rPr>
                <w:rFonts w:ascii="Arial" w:hAnsi="Arial" w:cs="Arial"/>
                <w:sz w:val="20"/>
                <w:szCs w:val="20"/>
              </w:rPr>
            </w:pPr>
            <w:r w:rsidRPr="007E1A4F">
              <w:rPr>
                <w:rFonts w:ascii="Arial" w:hAnsi="Arial" w:cs="Arial"/>
                <w:sz w:val="20"/>
                <w:szCs w:val="20"/>
              </w:rPr>
              <w:t>Le foreste gestite in modo sostenibile sono di norma pozzi che contribuiscono alla mitigazione del clima. Nel periodo di riferimento dal 2000 al 2009, gli assorbimenti medi comunicati da pozzi risultanti dalle foreste erano pari a 372 milioni di tonnellate di CO</w:t>
            </w:r>
            <w:r w:rsidR="009C4AD2" w:rsidRPr="007E1A4F">
              <w:rPr>
                <w:rFonts w:ascii="Arial" w:hAnsi="Arial" w:cs="Arial"/>
                <w:sz w:val="20"/>
                <w:szCs w:val="20"/>
              </w:rPr>
              <w:t xml:space="preserve">2 </w:t>
            </w:r>
            <w:r w:rsidRPr="007E1A4F">
              <w:rPr>
                <w:rFonts w:ascii="Arial" w:hAnsi="Arial" w:cs="Arial"/>
                <w:sz w:val="20"/>
                <w:szCs w:val="20"/>
              </w:rPr>
              <w:t>equivalente l’anno per l’Unione nel suo insieme. Gli Stati membri dovrebbero garantire che i pozzi e i serbatoi, incluse le foreste, siano, se del caso, conservati e incrementati al</w:t>
            </w:r>
            <w:r w:rsidR="009C4AD2" w:rsidRPr="007E1A4F">
              <w:rPr>
                <w:rFonts w:ascii="Arial" w:hAnsi="Arial" w:cs="Arial"/>
                <w:sz w:val="20"/>
                <w:szCs w:val="20"/>
              </w:rPr>
              <w:t xml:space="preserve"> </w:t>
            </w:r>
            <w:r w:rsidRPr="007E1A4F">
              <w:rPr>
                <w:rFonts w:ascii="Arial" w:hAnsi="Arial" w:cs="Arial"/>
                <w:sz w:val="20"/>
                <w:szCs w:val="20"/>
              </w:rPr>
              <w:t>fine di conseguire lo scopo dell’accordo di Parigi e raggiungere, entro il 2050, gli ambiziosi obiettivi dell’Unione di</w:t>
            </w:r>
            <w:r w:rsidR="009C4AD2" w:rsidRPr="007E1A4F">
              <w:rPr>
                <w:rFonts w:ascii="Arial" w:hAnsi="Arial" w:cs="Arial"/>
                <w:sz w:val="20"/>
                <w:szCs w:val="20"/>
              </w:rPr>
              <w:t xml:space="preserve"> </w:t>
            </w:r>
            <w:r w:rsidRPr="007E1A4F">
              <w:rPr>
                <w:rFonts w:ascii="Arial" w:hAnsi="Arial" w:cs="Arial"/>
                <w:sz w:val="20"/>
                <w:szCs w:val="20"/>
              </w:rPr>
              <w:t>riduzione delle emissioni di gas a effetto serra.</w:t>
            </w:r>
          </w:p>
        </w:tc>
      </w:tr>
    </w:tbl>
    <w:p w14:paraId="0939FC0D" w14:textId="22C94FE8" w:rsidR="00AC688E" w:rsidRDefault="00AC688E"/>
    <w:p w14:paraId="200B4F19" w14:textId="47CA0156" w:rsidR="00701B92" w:rsidRDefault="00701B92" w:rsidP="00701B92">
      <w:pPr>
        <w:ind w:firstLine="567"/>
        <w:jc w:val="both"/>
        <w:rPr>
          <w:rFonts w:ascii="Arial" w:hAnsi="Arial" w:cs="Arial"/>
          <w:sz w:val="24"/>
          <w:szCs w:val="24"/>
        </w:rPr>
      </w:pPr>
      <w:r w:rsidRPr="00701B92">
        <w:rPr>
          <w:rFonts w:ascii="Arial" w:hAnsi="Arial" w:cs="Arial"/>
          <w:sz w:val="24"/>
          <w:szCs w:val="24"/>
        </w:rPr>
        <w:t xml:space="preserve">Come si può vedere, la Premessa 3 connette chiaramente il Regolamento alla Strategia UE di attuazione degli Accordi di Parigi, mentre la Premessa 5 dichiara che il settore LULUCF rappresenta un “pilastro” specifico delle politiche per il clima dell’Unione. La Premessa 6 esplicita invece che il Consiglio Europeo ha invitato la Commissione a inserire il settore LULUCF nelle politiche di mitigazione degli effetti dei gas GHG entro il 2030. </w:t>
      </w:r>
      <w:r w:rsidR="00A20787">
        <w:rPr>
          <w:rFonts w:ascii="Arial" w:hAnsi="Arial" w:cs="Arial"/>
          <w:sz w:val="24"/>
          <w:szCs w:val="24"/>
        </w:rPr>
        <w:t>Quest’ultimo punto è particolarmente rilevante perché implica che il settore LULUCF non è solo da considerare come</w:t>
      </w:r>
      <w:r w:rsidR="0074368F">
        <w:rPr>
          <w:rFonts w:ascii="Arial" w:hAnsi="Arial" w:cs="Arial"/>
          <w:sz w:val="24"/>
          <w:szCs w:val="24"/>
        </w:rPr>
        <w:t xml:space="preserve"> mezzo di contabilizzazione e strumento di flessibilità per entrare in compliance con </w:t>
      </w:r>
      <w:r w:rsidR="00D41AD7">
        <w:rPr>
          <w:rFonts w:ascii="Arial" w:hAnsi="Arial" w:cs="Arial"/>
          <w:sz w:val="24"/>
          <w:szCs w:val="24"/>
        </w:rPr>
        <w:t xml:space="preserve">gli obbiettivi prefissati ma </w:t>
      </w:r>
      <w:r w:rsidR="00DE056E">
        <w:rPr>
          <w:rFonts w:ascii="Arial" w:hAnsi="Arial" w:cs="Arial"/>
          <w:sz w:val="24"/>
          <w:szCs w:val="24"/>
        </w:rPr>
        <w:t>in futuro potrà</w:t>
      </w:r>
      <w:r w:rsidR="00D41AD7">
        <w:rPr>
          <w:rFonts w:ascii="Arial" w:hAnsi="Arial" w:cs="Arial"/>
          <w:sz w:val="24"/>
          <w:szCs w:val="24"/>
        </w:rPr>
        <w:t xml:space="preserve"> diventare un </w:t>
      </w:r>
      <w:r w:rsidR="00D41AD7" w:rsidRPr="00DE056E">
        <w:rPr>
          <w:rFonts w:ascii="Arial" w:hAnsi="Arial" w:cs="Arial"/>
          <w:i/>
          <w:iCs/>
          <w:sz w:val="24"/>
          <w:szCs w:val="24"/>
        </w:rPr>
        <w:t>elemento attivo della politica sul clima</w:t>
      </w:r>
      <w:r w:rsidR="00D41AD7">
        <w:rPr>
          <w:rFonts w:ascii="Arial" w:hAnsi="Arial" w:cs="Arial"/>
          <w:sz w:val="24"/>
          <w:szCs w:val="24"/>
        </w:rPr>
        <w:t xml:space="preserve">, dove implementare azioni specifiche. </w:t>
      </w:r>
    </w:p>
    <w:p w14:paraId="043A9175" w14:textId="36C7A4EF" w:rsidR="00701B92" w:rsidRPr="00701B92" w:rsidRDefault="00BB2ABA" w:rsidP="00701B92">
      <w:pPr>
        <w:ind w:firstLine="567"/>
        <w:jc w:val="both"/>
        <w:rPr>
          <w:rFonts w:ascii="Arial" w:hAnsi="Arial" w:cs="Arial"/>
          <w:sz w:val="24"/>
          <w:szCs w:val="24"/>
        </w:rPr>
      </w:pPr>
      <w:r>
        <w:rPr>
          <w:rFonts w:ascii="Arial" w:hAnsi="Arial" w:cs="Arial"/>
          <w:sz w:val="24"/>
          <w:szCs w:val="24"/>
        </w:rPr>
        <w:t>Andando con ordine, i primi articoli del Regolamento 841 definiscono il suo ambito di applicazione e gli impegni di ci</w:t>
      </w:r>
      <w:r w:rsidR="00945D75">
        <w:rPr>
          <w:rFonts w:ascii="Arial" w:hAnsi="Arial" w:cs="Arial"/>
          <w:sz w:val="24"/>
          <w:szCs w:val="24"/>
        </w:rPr>
        <w:t>as</w:t>
      </w:r>
      <w:r>
        <w:rPr>
          <w:rFonts w:ascii="Arial" w:hAnsi="Arial" w:cs="Arial"/>
          <w:sz w:val="24"/>
          <w:szCs w:val="24"/>
        </w:rPr>
        <w:t xml:space="preserve">cuno SM, come si evince dalla tabella </w:t>
      </w:r>
      <w:r w:rsidR="00D808C1">
        <w:rPr>
          <w:rFonts w:ascii="Arial" w:hAnsi="Arial" w:cs="Arial"/>
          <w:sz w:val="24"/>
          <w:szCs w:val="24"/>
        </w:rPr>
        <w:t>4</w:t>
      </w:r>
      <w:r>
        <w:rPr>
          <w:rFonts w:ascii="Arial" w:hAnsi="Arial" w:cs="Arial"/>
          <w:sz w:val="24"/>
          <w:szCs w:val="24"/>
        </w:rPr>
        <w:t xml:space="preserve">. </w:t>
      </w:r>
    </w:p>
    <w:p w14:paraId="2FEAE5B0" w14:textId="77777777" w:rsidR="00AC688E" w:rsidRDefault="00AC688E"/>
    <w:p w14:paraId="05887248" w14:textId="52DE8C6A" w:rsidR="00A41FA5" w:rsidRPr="00F9000A" w:rsidRDefault="00A41FA5" w:rsidP="00A41FA5">
      <w:pPr>
        <w:pStyle w:val="Corpotesto"/>
        <w:ind w:right="45"/>
        <w:jc w:val="both"/>
        <w:rPr>
          <w:rFonts w:ascii="Arial" w:hAnsi="Arial" w:cs="Arial"/>
          <w:b/>
          <w:bCs/>
          <w:sz w:val="24"/>
          <w:szCs w:val="24"/>
        </w:rPr>
      </w:pPr>
      <w:r w:rsidRPr="00F9000A">
        <w:rPr>
          <w:rFonts w:ascii="Arial" w:hAnsi="Arial" w:cs="Arial"/>
          <w:b/>
          <w:bCs/>
          <w:sz w:val="24"/>
          <w:szCs w:val="24"/>
        </w:rPr>
        <w:t xml:space="preserve">Tabella </w:t>
      </w:r>
      <w:r w:rsidR="00D11BDC">
        <w:rPr>
          <w:rFonts w:ascii="Arial" w:hAnsi="Arial" w:cs="Arial"/>
          <w:b/>
          <w:bCs/>
          <w:sz w:val="24"/>
          <w:szCs w:val="24"/>
        </w:rPr>
        <w:t>4</w:t>
      </w:r>
      <w:r w:rsidRPr="00F9000A">
        <w:rPr>
          <w:rFonts w:ascii="Arial" w:hAnsi="Arial" w:cs="Arial"/>
          <w:b/>
          <w:bCs/>
          <w:sz w:val="24"/>
          <w:szCs w:val="24"/>
        </w:rPr>
        <w:t xml:space="preserve"> - </w:t>
      </w:r>
      <w:r>
        <w:rPr>
          <w:rFonts w:ascii="Arial" w:hAnsi="Arial" w:cs="Arial"/>
          <w:b/>
          <w:bCs/>
          <w:sz w:val="24"/>
          <w:szCs w:val="24"/>
        </w:rPr>
        <w:t>Premesse</w:t>
      </w:r>
      <w:r w:rsidRPr="00F9000A">
        <w:rPr>
          <w:rFonts w:ascii="Arial" w:hAnsi="Arial" w:cs="Arial"/>
          <w:b/>
          <w:bCs/>
          <w:sz w:val="24"/>
          <w:szCs w:val="24"/>
        </w:rPr>
        <w:t xml:space="preserve"> rilevanti nel Regolamento 84</w:t>
      </w:r>
      <w:r>
        <w:rPr>
          <w:rFonts w:ascii="Arial" w:hAnsi="Arial" w:cs="Arial"/>
          <w:b/>
          <w:bCs/>
          <w:sz w:val="24"/>
          <w:szCs w:val="24"/>
        </w:rPr>
        <w:t>1</w:t>
      </w:r>
      <w:r w:rsidRPr="00F9000A">
        <w:rPr>
          <w:rFonts w:ascii="Arial" w:hAnsi="Arial" w:cs="Arial"/>
          <w:b/>
          <w:bCs/>
          <w:sz w:val="24"/>
          <w:szCs w:val="24"/>
        </w:rPr>
        <w:t>/2018</w:t>
      </w:r>
    </w:p>
    <w:tbl>
      <w:tblPr>
        <w:tblStyle w:val="Grigliatabella"/>
        <w:tblW w:w="0" w:type="auto"/>
        <w:tblLook w:val="04A0" w:firstRow="1" w:lastRow="0" w:firstColumn="1" w:lastColumn="0" w:noHBand="0" w:noVBand="1"/>
      </w:tblPr>
      <w:tblGrid>
        <w:gridCol w:w="1168"/>
        <w:gridCol w:w="4752"/>
        <w:gridCol w:w="3852"/>
      </w:tblGrid>
      <w:tr w:rsidR="0079616E" w:rsidRPr="00D851EA" w14:paraId="1BEEA904" w14:textId="77777777" w:rsidTr="0079616E">
        <w:tc>
          <w:tcPr>
            <w:tcW w:w="1168" w:type="dxa"/>
          </w:tcPr>
          <w:p w14:paraId="6E0E691C" w14:textId="0065279D" w:rsidR="0079616E" w:rsidRPr="00575F69" w:rsidRDefault="0079616E" w:rsidP="00296576">
            <w:pPr>
              <w:pStyle w:val="Corpotesto"/>
              <w:ind w:right="45"/>
              <w:jc w:val="both"/>
              <w:rPr>
                <w:rFonts w:ascii="Arial" w:hAnsi="Arial" w:cs="Arial"/>
                <w:sz w:val="20"/>
                <w:szCs w:val="20"/>
              </w:rPr>
            </w:pPr>
            <w:r w:rsidRPr="0008297C">
              <w:rPr>
                <w:rFonts w:ascii="Arial" w:hAnsi="Arial" w:cs="Arial"/>
                <w:b/>
                <w:bCs/>
                <w:sz w:val="24"/>
                <w:szCs w:val="24"/>
              </w:rPr>
              <w:t>Articolo</w:t>
            </w:r>
          </w:p>
        </w:tc>
        <w:tc>
          <w:tcPr>
            <w:tcW w:w="4752" w:type="dxa"/>
          </w:tcPr>
          <w:p w14:paraId="39E3520E" w14:textId="6BEE7D5A" w:rsidR="0079616E" w:rsidRPr="00026757" w:rsidRDefault="0079616E" w:rsidP="00296576">
            <w:pPr>
              <w:pStyle w:val="Corpotesto"/>
              <w:ind w:right="45"/>
              <w:jc w:val="both"/>
              <w:rPr>
                <w:rFonts w:ascii="Arial" w:hAnsi="Arial" w:cs="Arial"/>
                <w:sz w:val="20"/>
                <w:szCs w:val="20"/>
              </w:rPr>
            </w:pPr>
            <w:r w:rsidRPr="0008297C">
              <w:rPr>
                <w:rFonts w:ascii="Arial" w:hAnsi="Arial" w:cs="Arial"/>
                <w:b/>
                <w:bCs/>
                <w:sz w:val="24"/>
                <w:szCs w:val="24"/>
              </w:rPr>
              <w:t>Descrizione</w:t>
            </w:r>
          </w:p>
        </w:tc>
        <w:tc>
          <w:tcPr>
            <w:tcW w:w="3852" w:type="dxa"/>
          </w:tcPr>
          <w:p w14:paraId="60CFB8BA" w14:textId="712AAF10" w:rsidR="0079616E" w:rsidRPr="00D851EA" w:rsidRDefault="0079616E" w:rsidP="00296576">
            <w:pPr>
              <w:pStyle w:val="Corpotesto"/>
              <w:ind w:right="45"/>
              <w:jc w:val="both"/>
              <w:rPr>
                <w:rFonts w:ascii="Arial" w:hAnsi="Arial" w:cs="Arial"/>
                <w:sz w:val="20"/>
                <w:szCs w:val="20"/>
              </w:rPr>
            </w:pPr>
            <w:r w:rsidRPr="0008297C">
              <w:rPr>
                <w:rFonts w:ascii="Arial" w:hAnsi="Arial" w:cs="Arial"/>
                <w:b/>
                <w:bCs/>
                <w:sz w:val="24"/>
                <w:szCs w:val="24"/>
              </w:rPr>
              <w:t>Considerazioni e riferimenti</w:t>
            </w:r>
          </w:p>
        </w:tc>
      </w:tr>
      <w:tr w:rsidR="0079616E" w:rsidRPr="00D851EA" w14:paraId="4C2345A7" w14:textId="77777777" w:rsidTr="0079616E">
        <w:tc>
          <w:tcPr>
            <w:tcW w:w="1168" w:type="dxa"/>
          </w:tcPr>
          <w:p w14:paraId="2DD6B215" w14:textId="277D0068" w:rsidR="0079616E" w:rsidRPr="00575F69" w:rsidRDefault="0079616E" w:rsidP="00296576">
            <w:pPr>
              <w:pStyle w:val="Corpotesto"/>
              <w:ind w:right="45"/>
              <w:jc w:val="both"/>
              <w:rPr>
                <w:rFonts w:ascii="Arial" w:hAnsi="Arial" w:cs="Arial"/>
                <w:sz w:val="20"/>
                <w:szCs w:val="20"/>
              </w:rPr>
            </w:pPr>
            <w:r>
              <w:rPr>
                <w:rFonts w:ascii="Arial" w:hAnsi="Arial" w:cs="Arial"/>
                <w:sz w:val="20"/>
                <w:szCs w:val="20"/>
              </w:rPr>
              <w:t xml:space="preserve">Art. 1 </w:t>
            </w:r>
          </w:p>
        </w:tc>
        <w:tc>
          <w:tcPr>
            <w:tcW w:w="4752" w:type="dxa"/>
          </w:tcPr>
          <w:p w14:paraId="73FBBC41" w14:textId="77777777" w:rsidR="0079616E" w:rsidRPr="00026757" w:rsidRDefault="0079616E" w:rsidP="00296576">
            <w:pPr>
              <w:pStyle w:val="Corpotesto"/>
              <w:ind w:right="45"/>
              <w:jc w:val="both"/>
              <w:rPr>
                <w:rFonts w:ascii="Arial" w:hAnsi="Arial" w:cs="Arial"/>
                <w:sz w:val="20"/>
                <w:szCs w:val="20"/>
              </w:rPr>
            </w:pPr>
            <w:r w:rsidRPr="00026757">
              <w:rPr>
                <w:rFonts w:ascii="Arial" w:eastAsiaTheme="minorHAnsi" w:hAnsi="Arial" w:cs="Arial"/>
                <w:b/>
                <w:bCs/>
                <w:sz w:val="20"/>
                <w:szCs w:val="20"/>
              </w:rPr>
              <w:t>Oggetto</w:t>
            </w:r>
          </w:p>
          <w:p w14:paraId="207A88E0" w14:textId="1B720001" w:rsidR="0079616E" w:rsidRPr="00026757" w:rsidRDefault="0079616E" w:rsidP="00296576">
            <w:pPr>
              <w:pStyle w:val="Corpotesto"/>
              <w:ind w:right="45"/>
              <w:jc w:val="both"/>
              <w:rPr>
                <w:rFonts w:ascii="Arial" w:hAnsi="Arial" w:cs="Arial"/>
                <w:sz w:val="20"/>
                <w:szCs w:val="20"/>
              </w:rPr>
            </w:pPr>
            <w:r w:rsidRPr="00026757">
              <w:rPr>
                <w:rFonts w:ascii="Arial" w:hAnsi="Arial" w:cs="Arial"/>
                <w:sz w:val="20"/>
                <w:szCs w:val="20"/>
              </w:rPr>
              <w:t>Identifica come ambito di applicazione le attività LULUCF che contribuiscono a realizzare gli obbiettivi dell’Accordo di Parigi e stabilisce una contabilizzazione degli adempimenti degli SM in relazione agli assorbimenti netti del settore LULUCF</w:t>
            </w:r>
          </w:p>
        </w:tc>
        <w:tc>
          <w:tcPr>
            <w:tcW w:w="3852" w:type="dxa"/>
          </w:tcPr>
          <w:p w14:paraId="17E1CA86" w14:textId="0F3F0B62" w:rsidR="0079616E" w:rsidRPr="00D851EA" w:rsidRDefault="0079616E" w:rsidP="00241CB3">
            <w:pPr>
              <w:pStyle w:val="Corpotesto"/>
              <w:ind w:right="45"/>
              <w:jc w:val="both"/>
              <w:rPr>
                <w:rFonts w:ascii="Arial" w:hAnsi="Arial" w:cs="Arial"/>
                <w:sz w:val="20"/>
                <w:szCs w:val="20"/>
              </w:rPr>
            </w:pPr>
            <w:r>
              <w:rPr>
                <w:rFonts w:ascii="Arial" w:hAnsi="Arial" w:cs="Arial"/>
                <w:sz w:val="20"/>
                <w:szCs w:val="20"/>
              </w:rPr>
              <w:t xml:space="preserve">Questo articolo, come già indicato nella premessa 3, colloca il settore LULUCF come asse portante degli adempimenti UE agli Accordi di Parigi e della Strategia Climatica Europea. In forza di questo, stabilisce precise regole per gli Stati Membri. </w:t>
            </w:r>
          </w:p>
        </w:tc>
      </w:tr>
      <w:tr w:rsidR="0079616E" w:rsidRPr="00D851EA" w14:paraId="0894A02A" w14:textId="77777777" w:rsidTr="0079616E">
        <w:tc>
          <w:tcPr>
            <w:tcW w:w="1168" w:type="dxa"/>
          </w:tcPr>
          <w:p w14:paraId="003402BF" w14:textId="3C9B7337" w:rsidR="0079616E" w:rsidRPr="00575F69" w:rsidRDefault="0079616E" w:rsidP="00296576">
            <w:pPr>
              <w:pStyle w:val="Corpotesto"/>
              <w:ind w:right="45"/>
              <w:jc w:val="both"/>
              <w:rPr>
                <w:rFonts w:ascii="Arial" w:hAnsi="Arial" w:cs="Arial"/>
                <w:sz w:val="20"/>
                <w:szCs w:val="20"/>
              </w:rPr>
            </w:pPr>
            <w:r>
              <w:rPr>
                <w:rFonts w:ascii="Arial" w:hAnsi="Arial" w:cs="Arial"/>
                <w:sz w:val="20"/>
                <w:szCs w:val="20"/>
              </w:rPr>
              <w:t>Art. 2</w:t>
            </w:r>
          </w:p>
        </w:tc>
        <w:tc>
          <w:tcPr>
            <w:tcW w:w="4752" w:type="dxa"/>
          </w:tcPr>
          <w:p w14:paraId="396AC47A" w14:textId="77777777" w:rsidR="0079616E" w:rsidRPr="00026757" w:rsidRDefault="0079616E" w:rsidP="00296576">
            <w:pPr>
              <w:pStyle w:val="Corpotesto"/>
              <w:ind w:right="45"/>
              <w:jc w:val="both"/>
              <w:rPr>
                <w:rFonts w:ascii="Arial" w:hAnsi="Arial" w:cs="Arial"/>
                <w:sz w:val="20"/>
                <w:szCs w:val="20"/>
              </w:rPr>
            </w:pPr>
            <w:r w:rsidRPr="00026757">
              <w:rPr>
                <w:rFonts w:ascii="Arial" w:eastAsiaTheme="minorHAnsi" w:hAnsi="Arial" w:cs="Arial"/>
                <w:b/>
                <w:bCs/>
                <w:sz w:val="20"/>
                <w:szCs w:val="20"/>
              </w:rPr>
              <w:t>Ambito di applicazione</w:t>
            </w:r>
          </w:p>
          <w:p w14:paraId="6659FC27" w14:textId="5000619F" w:rsidR="0079616E" w:rsidRPr="00026757" w:rsidRDefault="0079616E" w:rsidP="00DB6F1C">
            <w:pPr>
              <w:widowControl/>
              <w:adjustRightInd w:val="0"/>
              <w:jc w:val="both"/>
              <w:rPr>
                <w:rFonts w:ascii="Arial" w:hAnsi="Arial" w:cs="Arial"/>
                <w:sz w:val="20"/>
                <w:szCs w:val="20"/>
              </w:rPr>
            </w:pPr>
            <w:r w:rsidRPr="00026757">
              <w:rPr>
                <w:rFonts w:ascii="Arial" w:hAnsi="Arial" w:cs="Arial"/>
                <w:sz w:val="20"/>
                <w:szCs w:val="20"/>
              </w:rPr>
              <w:t xml:space="preserve">Definisce il campo di applicazione del Regolamento. Sono espressamente indicati: </w:t>
            </w:r>
            <w:r w:rsidRPr="00241CB3">
              <w:rPr>
                <w:rFonts w:ascii="Arial" w:hAnsi="Arial" w:cs="Arial"/>
                <w:b/>
                <w:bCs/>
                <w:i/>
                <w:iCs/>
                <w:sz w:val="20"/>
                <w:szCs w:val="20"/>
              </w:rPr>
              <w:t>terreni imboschiti, terreni disboscati e terreni forestali gestiti (punto a</w:t>
            </w:r>
            <w:proofErr w:type="gramStart"/>
            <w:r w:rsidRPr="00241CB3">
              <w:rPr>
                <w:rFonts w:ascii="Arial" w:hAnsi="Arial" w:cs="Arial"/>
                <w:b/>
                <w:bCs/>
                <w:i/>
                <w:iCs/>
                <w:sz w:val="20"/>
                <w:szCs w:val="20"/>
              </w:rPr>
              <w:t>) ,</w:t>
            </w:r>
            <w:proofErr w:type="gramEnd"/>
            <w:r w:rsidRPr="00241CB3">
              <w:rPr>
                <w:rFonts w:ascii="Arial" w:hAnsi="Arial" w:cs="Arial"/>
                <w:b/>
                <w:bCs/>
                <w:i/>
                <w:iCs/>
                <w:sz w:val="20"/>
                <w:szCs w:val="20"/>
              </w:rPr>
              <w:t xml:space="preserve"> v)).</w:t>
            </w:r>
          </w:p>
        </w:tc>
        <w:tc>
          <w:tcPr>
            <w:tcW w:w="3852" w:type="dxa"/>
          </w:tcPr>
          <w:p w14:paraId="252B48CD" w14:textId="6360C156" w:rsidR="0079616E" w:rsidRPr="00D851EA" w:rsidRDefault="0079616E" w:rsidP="00296576">
            <w:pPr>
              <w:pStyle w:val="Corpotesto"/>
              <w:ind w:right="45"/>
              <w:jc w:val="both"/>
              <w:rPr>
                <w:rFonts w:ascii="Arial" w:hAnsi="Arial" w:cs="Arial"/>
                <w:sz w:val="20"/>
                <w:szCs w:val="20"/>
              </w:rPr>
            </w:pPr>
            <w:r>
              <w:rPr>
                <w:rFonts w:ascii="Arial" w:hAnsi="Arial" w:cs="Arial"/>
                <w:sz w:val="20"/>
                <w:szCs w:val="20"/>
              </w:rPr>
              <w:t>Il regolamento riguarda tutti gli ambiti LULUCF, ovvero terreni agricoli, pascoli aree disboscate, aree umide. Le foreste e i boschi sono uno degli ambiti più rilevanti del Regolamento</w:t>
            </w:r>
            <w:r>
              <w:rPr>
                <w:rStyle w:val="Rimandonotaapidipagina"/>
                <w:rFonts w:ascii="Arial" w:hAnsi="Arial" w:cs="Arial"/>
                <w:sz w:val="20"/>
                <w:szCs w:val="20"/>
              </w:rPr>
              <w:footnoteReference w:id="40"/>
            </w:r>
            <w:r>
              <w:rPr>
                <w:rFonts w:ascii="Arial" w:hAnsi="Arial" w:cs="Arial"/>
                <w:sz w:val="20"/>
                <w:szCs w:val="20"/>
              </w:rPr>
              <w:t xml:space="preserve">. </w:t>
            </w:r>
          </w:p>
        </w:tc>
      </w:tr>
      <w:tr w:rsidR="0079616E" w:rsidRPr="00D851EA" w14:paraId="6170FE3B" w14:textId="77777777" w:rsidTr="0079616E">
        <w:tc>
          <w:tcPr>
            <w:tcW w:w="1168" w:type="dxa"/>
          </w:tcPr>
          <w:p w14:paraId="48D12DDE" w14:textId="6AEDD1A5" w:rsidR="0079616E" w:rsidRPr="00575F69" w:rsidRDefault="0079616E" w:rsidP="00296576">
            <w:pPr>
              <w:pStyle w:val="Corpotesto"/>
              <w:ind w:right="45"/>
              <w:jc w:val="both"/>
              <w:rPr>
                <w:rFonts w:ascii="Arial" w:hAnsi="Arial" w:cs="Arial"/>
                <w:sz w:val="20"/>
                <w:szCs w:val="20"/>
              </w:rPr>
            </w:pPr>
            <w:r>
              <w:rPr>
                <w:rFonts w:ascii="Arial" w:hAnsi="Arial" w:cs="Arial"/>
                <w:sz w:val="20"/>
                <w:szCs w:val="20"/>
              </w:rPr>
              <w:t>Art. 4</w:t>
            </w:r>
          </w:p>
        </w:tc>
        <w:tc>
          <w:tcPr>
            <w:tcW w:w="4752" w:type="dxa"/>
          </w:tcPr>
          <w:p w14:paraId="066C3F28" w14:textId="77777777" w:rsidR="0079616E" w:rsidRPr="00026757" w:rsidRDefault="0079616E" w:rsidP="00DB6F1C">
            <w:pPr>
              <w:widowControl/>
              <w:adjustRightInd w:val="0"/>
              <w:jc w:val="both"/>
              <w:rPr>
                <w:rFonts w:ascii="Arial" w:eastAsiaTheme="minorHAnsi" w:hAnsi="Arial" w:cs="Arial"/>
                <w:sz w:val="20"/>
                <w:szCs w:val="20"/>
              </w:rPr>
            </w:pPr>
            <w:r w:rsidRPr="00026757">
              <w:rPr>
                <w:rFonts w:ascii="Arial" w:eastAsiaTheme="minorHAnsi" w:hAnsi="Arial" w:cs="Arial"/>
                <w:b/>
                <w:bCs/>
                <w:sz w:val="20"/>
                <w:szCs w:val="20"/>
              </w:rPr>
              <w:t>Impegni</w:t>
            </w:r>
          </w:p>
          <w:p w14:paraId="1BD989D9" w14:textId="46AABD82" w:rsidR="0079616E" w:rsidRPr="00026757" w:rsidRDefault="0079616E" w:rsidP="00296576">
            <w:pPr>
              <w:pStyle w:val="Corpotesto"/>
              <w:ind w:right="45"/>
              <w:jc w:val="both"/>
              <w:rPr>
                <w:rFonts w:ascii="Arial" w:hAnsi="Arial" w:cs="Arial"/>
                <w:sz w:val="20"/>
                <w:szCs w:val="20"/>
              </w:rPr>
            </w:pPr>
            <w:r w:rsidRPr="00026757">
              <w:rPr>
                <w:rFonts w:ascii="Arial" w:eastAsiaTheme="minorHAnsi" w:hAnsi="Arial" w:cs="Arial"/>
                <w:sz w:val="20"/>
                <w:szCs w:val="20"/>
              </w:rPr>
              <w:t xml:space="preserve">Per i periodi dal 2021 al 2025 e dal 2026 al 2030, tenuto conto degli strumenti di flessibilità di cui agli articoli 12 e 13, ciascuno Stato membro garantisce che le emissioni non superino gli </w:t>
            </w:r>
            <w:r w:rsidRPr="00026757">
              <w:rPr>
                <w:rFonts w:ascii="Arial" w:eastAsiaTheme="minorHAnsi" w:hAnsi="Arial" w:cs="Arial"/>
                <w:sz w:val="20"/>
                <w:szCs w:val="20"/>
              </w:rPr>
              <w:lastRenderedPageBreak/>
              <w:t>assorbimenti, calcolate come somma delle emissioni e degli assorbimenti totali sul proprio territorio, cumulativamente in tutte le categorie contabili del suolo di cui all’articolo 2 e contabilizzate in conformità del presente regolamento</w:t>
            </w:r>
            <w:r w:rsidRPr="006C31BF">
              <w:rPr>
                <w:rFonts w:ascii="Arial" w:eastAsiaTheme="minorHAnsi" w:hAnsi="Arial" w:cs="Arial"/>
                <w:b/>
                <w:bCs/>
                <w:sz w:val="20"/>
                <w:szCs w:val="20"/>
              </w:rPr>
              <w:t xml:space="preserve">. </w:t>
            </w:r>
            <w:r w:rsidR="005E5591" w:rsidRPr="006C31BF">
              <w:rPr>
                <w:rFonts w:ascii="Arial" w:eastAsiaTheme="minorHAnsi" w:hAnsi="Arial" w:cs="Arial"/>
                <w:b/>
                <w:bCs/>
                <w:i/>
                <w:iCs/>
                <w:sz w:val="20"/>
                <w:szCs w:val="20"/>
              </w:rPr>
              <w:t xml:space="preserve">Questa è la condizione </w:t>
            </w:r>
            <w:r w:rsidR="002232D1" w:rsidRPr="006C31BF">
              <w:rPr>
                <w:rFonts w:ascii="Arial" w:eastAsiaTheme="minorHAnsi" w:hAnsi="Arial" w:cs="Arial"/>
                <w:b/>
                <w:bCs/>
                <w:i/>
                <w:iCs/>
                <w:sz w:val="20"/>
                <w:szCs w:val="20"/>
              </w:rPr>
              <w:t xml:space="preserve">b) descritta nel capitolo 4.1 </w:t>
            </w:r>
            <w:r w:rsidR="00C031E1">
              <w:rPr>
                <w:rFonts w:ascii="Arial" w:eastAsiaTheme="minorHAnsi" w:hAnsi="Arial" w:cs="Arial"/>
                <w:b/>
                <w:bCs/>
                <w:i/>
                <w:iCs/>
                <w:sz w:val="20"/>
                <w:szCs w:val="20"/>
              </w:rPr>
              <w:t>finalizzata ad</w:t>
            </w:r>
            <w:r w:rsidR="001635F1" w:rsidRPr="006C31BF">
              <w:rPr>
                <w:rFonts w:ascii="Arial" w:eastAsiaTheme="minorHAnsi" w:hAnsi="Arial" w:cs="Arial"/>
                <w:b/>
                <w:bCs/>
                <w:i/>
                <w:iCs/>
                <w:sz w:val="20"/>
                <w:szCs w:val="20"/>
              </w:rPr>
              <w:t xml:space="preserve"> utilizzare gli assorbimenti netti </w:t>
            </w:r>
            <w:r w:rsidR="00E07C72">
              <w:rPr>
                <w:rFonts w:ascii="Arial" w:eastAsiaTheme="minorHAnsi" w:hAnsi="Arial" w:cs="Arial"/>
                <w:b/>
                <w:bCs/>
                <w:i/>
                <w:iCs/>
                <w:sz w:val="20"/>
                <w:szCs w:val="20"/>
              </w:rPr>
              <w:t xml:space="preserve">del settore LULUCF </w:t>
            </w:r>
            <w:r w:rsidR="001635F1" w:rsidRPr="006C31BF">
              <w:rPr>
                <w:rFonts w:ascii="Arial" w:eastAsiaTheme="minorHAnsi" w:hAnsi="Arial" w:cs="Arial"/>
                <w:b/>
                <w:bCs/>
                <w:i/>
                <w:iCs/>
                <w:sz w:val="20"/>
                <w:szCs w:val="20"/>
              </w:rPr>
              <w:t xml:space="preserve">come mezzo di </w:t>
            </w:r>
            <w:r w:rsidRPr="006C31BF">
              <w:rPr>
                <w:rFonts w:ascii="Arial" w:eastAsiaTheme="minorHAnsi" w:hAnsi="Arial" w:cs="Arial"/>
                <w:b/>
                <w:bCs/>
                <w:i/>
                <w:iCs/>
                <w:sz w:val="20"/>
                <w:szCs w:val="20"/>
              </w:rPr>
              <w:t xml:space="preserve">compensazione </w:t>
            </w:r>
            <w:r w:rsidR="00AA0BF2">
              <w:rPr>
                <w:rFonts w:ascii="Arial" w:eastAsiaTheme="minorHAnsi" w:hAnsi="Arial" w:cs="Arial"/>
                <w:b/>
                <w:bCs/>
                <w:i/>
                <w:iCs/>
                <w:sz w:val="20"/>
                <w:szCs w:val="20"/>
              </w:rPr>
              <w:t>n</w:t>
            </w:r>
            <w:r w:rsidR="001635F1" w:rsidRPr="006C31BF">
              <w:rPr>
                <w:rFonts w:ascii="Arial" w:eastAsiaTheme="minorHAnsi" w:hAnsi="Arial" w:cs="Arial"/>
                <w:b/>
                <w:bCs/>
                <w:i/>
                <w:iCs/>
                <w:sz w:val="20"/>
                <w:szCs w:val="20"/>
              </w:rPr>
              <w:t>el</w:t>
            </w:r>
            <w:r w:rsidRPr="006C31BF">
              <w:rPr>
                <w:rFonts w:ascii="Arial" w:eastAsiaTheme="minorHAnsi" w:hAnsi="Arial" w:cs="Arial"/>
                <w:b/>
                <w:bCs/>
                <w:i/>
                <w:iCs/>
                <w:sz w:val="20"/>
                <w:szCs w:val="20"/>
              </w:rPr>
              <w:t xml:space="preserve"> Reg. 2018</w:t>
            </w:r>
            <w:r w:rsidR="006C31BF" w:rsidRPr="006C31BF">
              <w:rPr>
                <w:rFonts w:ascii="Arial" w:eastAsiaTheme="minorHAnsi" w:hAnsi="Arial" w:cs="Arial"/>
                <w:b/>
                <w:bCs/>
                <w:i/>
                <w:iCs/>
                <w:sz w:val="20"/>
                <w:szCs w:val="20"/>
              </w:rPr>
              <w:t>/</w:t>
            </w:r>
            <w:r w:rsidR="00AA0BF2">
              <w:rPr>
                <w:rFonts w:ascii="Arial" w:eastAsiaTheme="minorHAnsi" w:hAnsi="Arial" w:cs="Arial"/>
                <w:b/>
                <w:bCs/>
                <w:i/>
                <w:iCs/>
                <w:sz w:val="20"/>
                <w:szCs w:val="20"/>
              </w:rPr>
              <w:t>841</w:t>
            </w:r>
            <w:r w:rsidR="00FF2F3D">
              <w:rPr>
                <w:rFonts w:ascii="Arial" w:eastAsiaTheme="minorHAnsi" w:hAnsi="Arial" w:cs="Arial"/>
                <w:b/>
                <w:bCs/>
                <w:i/>
                <w:iCs/>
                <w:sz w:val="20"/>
                <w:szCs w:val="20"/>
              </w:rPr>
              <w:t xml:space="preserve"> per </w:t>
            </w:r>
            <w:r w:rsidR="004B7A72">
              <w:rPr>
                <w:rFonts w:ascii="Arial" w:eastAsiaTheme="minorHAnsi" w:hAnsi="Arial" w:cs="Arial"/>
                <w:b/>
                <w:bCs/>
                <w:i/>
                <w:iCs/>
                <w:sz w:val="20"/>
                <w:szCs w:val="20"/>
              </w:rPr>
              <w:t>i settori del ESR</w:t>
            </w:r>
            <w:r w:rsidR="006C31BF" w:rsidRPr="006C31BF">
              <w:rPr>
                <w:rFonts w:ascii="Arial" w:eastAsiaTheme="minorHAnsi" w:hAnsi="Arial" w:cs="Arial"/>
                <w:b/>
                <w:bCs/>
                <w:i/>
                <w:iCs/>
                <w:sz w:val="20"/>
                <w:szCs w:val="20"/>
              </w:rPr>
              <w:t>.</w:t>
            </w:r>
          </w:p>
        </w:tc>
        <w:tc>
          <w:tcPr>
            <w:tcW w:w="3852" w:type="dxa"/>
          </w:tcPr>
          <w:p w14:paraId="6A305F00" w14:textId="77777777" w:rsidR="0079616E" w:rsidRDefault="0079616E" w:rsidP="00296576">
            <w:pPr>
              <w:pStyle w:val="Corpotesto"/>
              <w:ind w:right="45"/>
              <w:jc w:val="both"/>
              <w:rPr>
                <w:rFonts w:ascii="Arial" w:hAnsi="Arial" w:cs="Arial"/>
                <w:sz w:val="20"/>
                <w:szCs w:val="20"/>
              </w:rPr>
            </w:pPr>
            <w:r>
              <w:rPr>
                <w:rFonts w:ascii="Arial" w:hAnsi="Arial" w:cs="Arial"/>
                <w:sz w:val="20"/>
                <w:szCs w:val="20"/>
              </w:rPr>
              <w:lastRenderedPageBreak/>
              <w:t xml:space="preserve">Questo articolo introduce una regola molto importante per l’intero assetto delle attività LULUCF nel quadro delle attività di gestione del clima, ovvero che somma delle emissioni e degli </w:t>
            </w:r>
            <w:r>
              <w:rPr>
                <w:rFonts w:ascii="Arial" w:hAnsi="Arial" w:cs="Arial"/>
                <w:sz w:val="20"/>
                <w:szCs w:val="20"/>
              </w:rPr>
              <w:lastRenderedPageBreak/>
              <w:t>assorbimenti da attività LULUCF deve essere tale che Emissioni &lt; Assorbimenti. Riguarda l’intero sistema LULUCF, ma in questo sistema le foreste hanno un ruolo centrale. Questa è nota come “</w:t>
            </w:r>
            <w:r w:rsidRPr="009A3AC4">
              <w:rPr>
                <w:rFonts w:ascii="Arial" w:hAnsi="Arial" w:cs="Arial"/>
                <w:b/>
                <w:bCs/>
                <w:sz w:val="20"/>
                <w:szCs w:val="20"/>
              </w:rPr>
              <w:t xml:space="preserve">no </w:t>
            </w:r>
            <w:proofErr w:type="spellStart"/>
            <w:r w:rsidRPr="009A3AC4">
              <w:rPr>
                <w:rFonts w:ascii="Arial" w:hAnsi="Arial" w:cs="Arial"/>
                <w:b/>
                <w:bCs/>
                <w:sz w:val="20"/>
                <w:szCs w:val="20"/>
              </w:rPr>
              <w:t>debit</w:t>
            </w:r>
            <w:proofErr w:type="spellEnd"/>
            <w:r w:rsidRPr="009A3AC4">
              <w:rPr>
                <w:rFonts w:ascii="Arial" w:hAnsi="Arial" w:cs="Arial"/>
                <w:b/>
                <w:bCs/>
                <w:sz w:val="20"/>
                <w:szCs w:val="20"/>
              </w:rPr>
              <w:t xml:space="preserve"> rule</w:t>
            </w:r>
            <w:r>
              <w:rPr>
                <w:rFonts w:ascii="Arial" w:hAnsi="Arial" w:cs="Arial"/>
                <w:sz w:val="20"/>
                <w:szCs w:val="20"/>
              </w:rPr>
              <w:t>”.</w:t>
            </w:r>
          </w:p>
          <w:p w14:paraId="038A0867" w14:textId="73057071" w:rsidR="0079616E" w:rsidRPr="00D851EA" w:rsidRDefault="0079616E" w:rsidP="00296576">
            <w:pPr>
              <w:pStyle w:val="Corpotesto"/>
              <w:ind w:right="45"/>
              <w:jc w:val="both"/>
              <w:rPr>
                <w:rFonts w:ascii="Arial" w:hAnsi="Arial" w:cs="Arial"/>
                <w:sz w:val="20"/>
                <w:szCs w:val="20"/>
              </w:rPr>
            </w:pPr>
            <w:r>
              <w:rPr>
                <w:rFonts w:ascii="Arial" w:hAnsi="Arial" w:cs="Arial"/>
                <w:sz w:val="20"/>
                <w:szCs w:val="20"/>
              </w:rPr>
              <w:t>Il monitoraggio deve ess</w:t>
            </w:r>
            <w:r w:rsidR="00BB2ABA">
              <w:rPr>
                <w:rFonts w:ascii="Arial" w:hAnsi="Arial" w:cs="Arial"/>
                <w:sz w:val="20"/>
                <w:szCs w:val="20"/>
              </w:rPr>
              <w:t>e</w:t>
            </w:r>
            <w:r>
              <w:rPr>
                <w:rFonts w:ascii="Arial" w:hAnsi="Arial" w:cs="Arial"/>
                <w:sz w:val="20"/>
                <w:szCs w:val="20"/>
              </w:rPr>
              <w:t>re svolto ogni cinque anni: 2021-25, 2026-30.</w:t>
            </w:r>
          </w:p>
        </w:tc>
      </w:tr>
    </w:tbl>
    <w:p w14:paraId="59F97918" w14:textId="77777777" w:rsidR="00A41FA5" w:rsidRDefault="00A41FA5"/>
    <w:p w14:paraId="7D84305D" w14:textId="0FCD7C27" w:rsidR="00A41FA5" w:rsidRPr="00BB2ABA" w:rsidRDefault="00BB2ABA" w:rsidP="00BB2ABA">
      <w:pPr>
        <w:ind w:firstLine="567"/>
        <w:jc w:val="both"/>
        <w:rPr>
          <w:rFonts w:ascii="Arial" w:hAnsi="Arial" w:cs="Arial"/>
          <w:sz w:val="24"/>
          <w:szCs w:val="24"/>
        </w:rPr>
      </w:pPr>
      <w:r>
        <w:rPr>
          <w:rFonts w:ascii="Arial" w:hAnsi="Arial" w:cs="Arial"/>
          <w:sz w:val="24"/>
          <w:szCs w:val="24"/>
        </w:rPr>
        <w:t xml:space="preserve">Di questi primi articoli, il n. 4 è particolarmente importante, perché stabilisce che nel quadro delle attività LULUCF, ogni SM deve garantire che gli assorbimenti superino le emissioni: questa è conosciuta come “no </w:t>
      </w:r>
      <w:proofErr w:type="spellStart"/>
      <w:r>
        <w:rPr>
          <w:rFonts w:ascii="Arial" w:hAnsi="Arial" w:cs="Arial"/>
          <w:sz w:val="24"/>
          <w:szCs w:val="24"/>
        </w:rPr>
        <w:t>debit</w:t>
      </w:r>
      <w:proofErr w:type="spellEnd"/>
      <w:r>
        <w:rPr>
          <w:rFonts w:ascii="Arial" w:hAnsi="Arial" w:cs="Arial"/>
          <w:sz w:val="24"/>
          <w:szCs w:val="24"/>
        </w:rPr>
        <w:t xml:space="preserve"> rule” ed è una delle condizioni che devono essere rispettate </w:t>
      </w:r>
      <w:r w:rsidR="00C36857">
        <w:rPr>
          <w:rFonts w:ascii="Arial" w:hAnsi="Arial" w:cs="Arial"/>
          <w:sz w:val="24"/>
          <w:szCs w:val="24"/>
        </w:rPr>
        <w:t>affinché</w:t>
      </w:r>
      <w:r>
        <w:rPr>
          <w:rFonts w:ascii="Arial" w:hAnsi="Arial" w:cs="Arial"/>
          <w:sz w:val="24"/>
          <w:szCs w:val="24"/>
        </w:rPr>
        <w:t xml:space="preserve"> sia applicabile il meccanismo di flessibilità descritto nell’art. 7 del Regolamento 842/2013. Per i terreni forestali, le modalità di contabilizzazione delle emissioni e degli assorbimenti sono descritte nell’art. 8 e sono</w:t>
      </w:r>
      <w:r w:rsidR="00556B5E">
        <w:rPr>
          <w:rFonts w:ascii="Arial" w:hAnsi="Arial" w:cs="Arial"/>
          <w:sz w:val="24"/>
          <w:szCs w:val="24"/>
        </w:rPr>
        <w:t xml:space="preserve"> descritte in sintesi </w:t>
      </w:r>
      <w:r w:rsidR="00330F5F">
        <w:rPr>
          <w:rFonts w:ascii="Arial" w:hAnsi="Arial" w:cs="Arial"/>
          <w:sz w:val="24"/>
          <w:szCs w:val="24"/>
        </w:rPr>
        <w:t>ne</w:t>
      </w:r>
      <w:r>
        <w:rPr>
          <w:rFonts w:ascii="Arial" w:hAnsi="Arial" w:cs="Arial"/>
          <w:sz w:val="24"/>
          <w:szCs w:val="24"/>
        </w:rPr>
        <w:t xml:space="preserve">lla tabella successiva. </w:t>
      </w:r>
    </w:p>
    <w:p w14:paraId="68BA928D" w14:textId="77777777" w:rsidR="00A41FA5" w:rsidRDefault="00A41FA5"/>
    <w:p w14:paraId="464234B3" w14:textId="09738C8D" w:rsidR="004D4CBD" w:rsidRPr="00F9000A" w:rsidRDefault="004D4CBD" w:rsidP="004D4CBD">
      <w:pPr>
        <w:pStyle w:val="Corpotesto"/>
        <w:ind w:right="45"/>
        <w:jc w:val="both"/>
        <w:rPr>
          <w:rFonts w:ascii="Arial" w:hAnsi="Arial" w:cs="Arial"/>
          <w:b/>
          <w:bCs/>
          <w:sz w:val="24"/>
          <w:szCs w:val="24"/>
        </w:rPr>
      </w:pPr>
      <w:r w:rsidRPr="00F9000A">
        <w:rPr>
          <w:rFonts w:ascii="Arial" w:hAnsi="Arial" w:cs="Arial"/>
          <w:b/>
          <w:bCs/>
          <w:sz w:val="24"/>
          <w:szCs w:val="24"/>
        </w:rPr>
        <w:t xml:space="preserve">Tabella </w:t>
      </w:r>
      <w:r w:rsidR="00D11BDC">
        <w:rPr>
          <w:rFonts w:ascii="Arial" w:hAnsi="Arial" w:cs="Arial"/>
          <w:b/>
          <w:bCs/>
          <w:sz w:val="24"/>
          <w:szCs w:val="24"/>
        </w:rPr>
        <w:t>5</w:t>
      </w:r>
      <w:r w:rsidRPr="00F9000A">
        <w:rPr>
          <w:rFonts w:ascii="Arial" w:hAnsi="Arial" w:cs="Arial"/>
          <w:b/>
          <w:bCs/>
          <w:sz w:val="24"/>
          <w:szCs w:val="24"/>
        </w:rPr>
        <w:t xml:space="preserve"> - </w:t>
      </w:r>
      <w:r w:rsidR="00771AA3">
        <w:rPr>
          <w:rFonts w:ascii="Arial" w:hAnsi="Arial" w:cs="Arial"/>
          <w:b/>
          <w:bCs/>
          <w:sz w:val="24"/>
          <w:szCs w:val="24"/>
        </w:rPr>
        <w:t>Criteri di contabilizzazione</w:t>
      </w:r>
      <w:r w:rsidRPr="00F9000A">
        <w:rPr>
          <w:rFonts w:ascii="Arial" w:hAnsi="Arial" w:cs="Arial"/>
          <w:b/>
          <w:bCs/>
          <w:sz w:val="24"/>
          <w:szCs w:val="24"/>
        </w:rPr>
        <w:t xml:space="preserve"> nel Regolamento 84</w:t>
      </w:r>
      <w:r>
        <w:rPr>
          <w:rFonts w:ascii="Arial" w:hAnsi="Arial" w:cs="Arial"/>
          <w:b/>
          <w:bCs/>
          <w:sz w:val="24"/>
          <w:szCs w:val="24"/>
        </w:rPr>
        <w:t>1</w:t>
      </w:r>
      <w:r w:rsidRPr="00F9000A">
        <w:rPr>
          <w:rFonts w:ascii="Arial" w:hAnsi="Arial" w:cs="Arial"/>
          <w:b/>
          <w:bCs/>
          <w:sz w:val="24"/>
          <w:szCs w:val="24"/>
        </w:rPr>
        <w:t>/2018</w:t>
      </w:r>
    </w:p>
    <w:tbl>
      <w:tblPr>
        <w:tblStyle w:val="Grigliatabella"/>
        <w:tblW w:w="0" w:type="auto"/>
        <w:tblLook w:val="04A0" w:firstRow="1" w:lastRow="0" w:firstColumn="1" w:lastColumn="0" w:noHBand="0" w:noVBand="1"/>
      </w:tblPr>
      <w:tblGrid>
        <w:gridCol w:w="1168"/>
        <w:gridCol w:w="4752"/>
        <w:gridCol w:w="3852"/>
      </w:tblGrid>
      <w:tr w:rsidR="00A41FA5" w:rsidRPr="00D851EA" w14:paraId="3A9FC6A9" w14:textId="77777777" w:rsidTr="00A41FA5">
        <w:tc>
          <w:tcPr>
            <w:tcW w:w="1168" w:type="dxa"/>
          </w:tcPr>
          <w:p w14:paraId="5408F228" w14:textId="77777777" w:rsidR="00A41FA5" w:rsidRPr="00575F69" w:rsidRDefault="00A41FA5" w:rsidP="00D02AA0">
            <w:pPr>
              <w:pStyle w:val="Corpotesto"/>
              <w:ind w:right="45"/>
              <w:jc w:val="both"/>
              <w:rPr>
                <w:rFonts w:ascii="Arial" w:hAnsi="Arial" w:cs="Arial"/>
                <w:sz w:val="20"/>
                <w:szCs w:val="20"/>
              </w:rPr>
            </w:pPr>
            <w:r w:rsidRPr="0008297C">
              <w:rPr>
                <w:rFonts w:ascii="Arial" w:hAnsi="Arial" w:cs="Arial"/>
                <w:b/>
                <w:bCs/>
                <w:sz w:val="24"/>
                <w:szCs w:val="24"/>
              </w:rPr>
              <w:t>Articolo</w:t>
            </w:r>
          </w:p>
        </w:tc>
        <w:tc>
          <w:tcPr>
            <w:tcW w:w="4752" w:type="dxa"/>
          </w:tcPr>
          <w:p w14:paraId="763ED579" w14:textId="77777777" w:rsidR="00A41FA5" w:rsidRPr="00026757" w:rsidRDefault="00A41FA5" w:rsidP="00D02AA0">
            <w:pPr>
              <w:pStyle w:val="Corpotesto"/>
              <w:ind w:right="45"/>
              <w:jc w:val="both"/>
              <w:rPr>
                <w:rFonts w:ascii="Arial" w:hAnsi="Arial" w:cs="Arial"/>
                <w:sz w:val="20"/>
                <w:szCs w:val="20"/>
              </w:rPr>
            </w:pPr>
            <w:r w:rsidRPr="0008297C">
              <w:rPr>
                <w:rFonts w:ascii="Arial" w:hAnsi="Arial" w:cs="Arial"/>
                <w:b/>
                <w:bCs/>
                <w:sz w:val="24"/>
                <w:szCs w:val="24"/>
              </w:rPr>
              <w:t>Descrizione</w:t>
            </w:r>
          </w:p>
        </w:tc>
        <w:tc>
          <w:tcPr>
            <w:tcW w:w="3852" w:type="dxa"/>
          </w:tcPr>
          <w:p w14:paraId="63908734" w14:textId="77777777" w:rsidR="00A41FA5" w:rsidRPr="00D851EA" w:rsidRDefault="00A41FA5" w:rsidP="00D02AA0">
            <w:pPr>
              <w:pStyle w:val="Corpotesto"/>
              <w:ind w:right="45"/>
              <w:jc w:val="both"/>
              <w:rPr>
                <w:rFonts w:ascii="Arial" w:hAnsi="Arial" w:cs="Arial"/>
                <w:sz w:val="20"/>
                <w:szCs w:val="20"/>
              </w:rPr>
            </w:pPr>
            <w:r w:rsidRPr="0008297C">
              <w:rPr>
                <w:rFonts w:ascii="Arial" w:hAnsi="Arial" w:cs="Arial"/>
                <w:b/>
                <w:bCs/>
                <w:sz w:val="24"/>
                <w:szCs w:val="24"/>
              </w:rPr>
              <w:t>Considerazioni e riferimenti</w:t>
            </w:r>
          </w:p>
        </w:tc>
      </w:tr>
      <w:tr w:rsidR="0079616E" w:rsidRPr="00D851EA" w14:paraId="0FF2294C" w14:textId="77777777" w:rsidTr="0079616E">
        <w:tc>
          <w:tcPr>
            <w:tcW w:w="1168" w:type="dxa"/>
          </w:tcPr>
          <w:p w14:paraId="46D5FAB8" w14:textId="26DDBF9B" w:rsidR="0079616E" w:rsidRPr="00575F69" w:rsidRDefault="0079616E" w:rsidP="00296576">
            <w:pPr>
              <w:pStyle w:val="Corpotesto"/>
              <w:ind w:right="45"/>
              <w:jc w:val="both"/>
              <w:rPr>
                <w:rFonts w:ascii="Arial" w:hAnsi="Arial" w:cs="Arial"/>
                <w:sz w:val="20"/>
                <w:szCs w:val="20"/>
              </w:rPr>
            </w:pPr>
            <w:r>
              <w:rPr>
                <w:rFonts w:ascii="Arial" w:hAnsi="Arial" w:cs="Arial"/>
                <w:sz w:val="20"/>
                <w:szCs w:val="20"/>
              </w:rPr>
              <w:t>Art. 5</w:t>
            </w:r>
          </w:p>
        </w:tc>
        <w:tc>
          <w:tcPr>
            <w:tcW w:w="4752" w:type="dxa"/>
          </w:tcPr>
          <w:p w14:paraId="37F89B79" w14:textId="77777777" w:rsidR="0079616E" w:rsidRPr="00026757" w:rsidRDefault="0079616E" w:rsidP="00296576">
            <w:pPr>
              <w:pStyle w:val="Corpotesto"/>
              <w:ind w:right="45"/>
              <w:jc w:val="both"/>
              <w:rPr>
                <w:rFonts w:ascii="Arial" w:hAnsi="Arial" w:cs="Arial"/>
                <w:sz w:val="20"/>
                <w:szCs w:val="20"/>
              </w:rPr>
            </w:pPr>
            <w:r w:rsidRPr="00026757">
              <w:rPr>
                <w:rFonts w:ascii="Arial" w:eastAsiaTheme="minorHAnsi" w:hAnsi="Arial" w:cs="Arial"/>
                <w:b/>
                <w:bCs/>
                <w:sz w:val="20"/>
                <w:szCs w:val="20"/>
              </w:rPr>
              <w:t>Norme generali di contabilizzazione</w:t>
            </w:r>
            <w:r w:rsidRPr="00026757">
              <w:rPr>
                <w:rFonts w:ascii="Arial" w:hAnsi="Arial" w:cs="Arial"/>
                <w:sz w:val="20"/>
                <w:szCs w:val="20"/>
              </w:rPr>
              <w:t xml:space="preserve"> </w:t>
            </w:r>
          </w:p>
          <w:p w14:paraId="57714327" w14:textId="77777777" w:rsidR="0079616E" w:rsidRPr="00026757" w:rsidRDefault="0079616E" w:rsidP="00296576">
            <w:pPr>
              <w:pStyle w:val="Corpotesto"/>
              <w:ind w:right="45"/>
              <w:jc w:val="both"/>
              <w:rPr>
                <w:rFonts w:ascii="Arial" w:hAnsi="Arial" w:cs="Arial"/>
                <w:sz w:val="20"/>
                <w:szCs w:val="20"/>
              </w:rPr>
            </w:pPr>
            <w:r w:rsidRPr="00026757">
              <w:rPr>
                <w:rFonts w:ascii="Arial" w:hAnsi="Arial" w:cs="Arial"/>
                <w:sz w:val="20"/>
                <w:szCs w:val="20"/>
              </w:rPr>
              <w:t>Definisce le norme generali di contabilizzazione delle emissioni e degli assorbimenti del settore LULUCF e dei suoi comparti, tra cui quello forestale.</w:t>
            </w:r>
          </w:p>
          <w:p w14:paraId="1A004428" w14:textId="2F2A12F9" w:rsidR="0079616E" w:rsidRPr="00026757" w:rsidRDefault="0079616E" w:rsidP="009E11D0">
            <w:pPr>
              <w:pStyle w:val="Corpotesto"/>
              <w:ind w:right="45"/>
              <w:jc w:val="both"/>
              <w:rPr>
                <w:rFonts w:ascii="Arial" w:hAnsi="Arial" w:cs="Arial"/>
                <w:sz w:val="20"/>
                <w:szCs w:val="20"/>
              </w:rPr>
            </w:pPr>
            <w:r w:rsidRPr="00026757">
              <w:rPr>
                <w:rFonts w:ascii="Arial" w:hAnsi="Arial" w:cs="Arial"/>
                <w:sz w:val="20"/>
                <w:szCs w:val="20"/>
              </w:rPr>
              <w:t xml:space="preserve">Stabilisce che gli SM debbano tenere un registro completo dei dati utilizzati per la contabilizzazione. </w:t>
            </w:r>
          </w:p>
        </w:tc>
        <w:tc>
          <w:tcPr>
            <w:tcW w:w="3852" w:type="dxa"/>
          </w:tcPr>
          <w:p w14:paraId="174367CF" w14:textId="5920989E" w:rsidR="0079616E" w:rsidRPr="00CA3945" w:rsidRDefault="0079616E" w:rsidP="00A84718">
            <w:pPr>
              <w:pStyle w:val="Corpotesto"/>
              <w:ind w:right="45"/>
              <w:jc w:val="both"/>
              <w:rPr>
                <w:rFonts w:ascii="Arial" w:hAnsi="Arial" w:cs="Arial"/>
                <w:b/>
                <w:bCs/>
                <w:i/>
                <w:iCs/>
                <w:sz w:val="20"/>
                <w:szCs w:val="20"/>
              </w:rPr>
            </w:pPr>
            <w:r>
              <w:rPr>
                <w:rFonts w:ascii="Arial" w:hAnsi="Arial" w:cs="Arial"/>
                <w:sz w:val="20"/>
                <w:szCs w:val="20"/>
              </w:rPr>
              <w:t xml:space="preserve">Un aspetto tecnico da considerare è che un terreno, </w:t>
            </w:r>
            <w:r w:rsidR="00C36857">
              <w:rPr>
                <w:rFonts w:ascii="Arial" w:hAnsi="Arial" w:cs="Arial"/>
                <w:sz w:val="20"/>
                <w:szCs w:val="20"/>
              </w:rPr>
              <w:t>affinché</w:t>
            </w:r>
            <w:r>
              <w:rPr>
                <w:rFonts w:ascii="Arial" w:hAnsi="Arial" w:cs="Arial"/>
                <w:sz w:val="20"/>
                <w:szCs w:val="20"/>
              </w:rPr>
              <w:t xml:space="preserve"> sia considerato con definitivo cambio di destinazione, devono passare 20 anni. </w:t>
            </w:r>
          </w:p>
        </w:tc>
      </w:tr>
      <w:tr w:rsidR="0079616E" w:rsidRPr="00D851EA" w14:paraId="2B9B3C58" w14:textId="77777777" w:rsidTr="0079616E">
        <w:tc>
          <w:tcPr>
            <w:tcW w:w="1168" w:type="dxa"/>
          </w:tcPr>
          <w:p w14:paraId="6F33D976" w14:textId="4E1B1B39" w:rsidR="0079616E" w:rsidRPr="00575F69" w:rsidRDefault="0079616E" w:rsidP="002D34BF">
            <w:pPr>
              <w:pStyle w:val="Corpotesto"/>
              <w:ind w:right="45"/>
              <w:jc w:val="both"/>
              <w:rPr>
                <w:rFonts w:ascii="Arial" w:hAnsi="Arial" w:cs="Arial"/>
                <w:sz w:val="20"/>
                <w:szCs w:val="20"/>
              </w:rPr>
            </w:pPr>
            <w:r>
              <w:rPr>
                <w:rFonts w:ascii="Arial" w:hAnsi="Arial" w:cs="Arial"/>
                <w:sz w:val="20"/>
                <w:szCs w:val="20"/>
              </w:rPr>
              <w:t>Art. 8</w:t>
            </w:r>
          </w:p>
        </w:tc>
        <w:tc>
          <w:tcPr>
            <w:tcW w:w="4752" w:type="dxa"/>
          </w:tcPr>
          <w:p w14:paraId="1AF06848" w14:textId="77777777" w:rsidR="0079616E" w:rsidRPr="00026757" w:rsidRDefault="0079616E" w:rsidP="00296576">
            <w:pPr>
              <w:pStyle w:val="Corpotesto"/>
              <w:ind w:right="45"/>
              <w:jc w:val="both"/>
              <w:rPr>
                <w:rFonts w:ascii="Arial" w:hAnsi="Arial" w:cs="Arial"/>
                <w:sz w:val="20"/>
                <w:szCs w:val="20"/>
              </w:rPr>
            </w:pPr>
            <w:r w:rsidRPr="00026757">
              <w:rPr>
                <w:rFonts w:ascii="Arial" w:eastAsiaTheme="minorHAnsi" w:hAnsi="Arial" w:cs="Arial"/>
                <w:b/>
                <w:bCs/>
                <w:sz w:val="20"/>
                <w:szCs w:val="20"/>
              </w:rPr>
              <w:t>Contabilizzazione relativa ai terreni forestali gestiti</w:t>
            </w:r>
          </w:p>
          <w:p w14:paraId="3240A33E" w14:textId="77777777" w:rsidR="0079616E" w:rsidRDefault="0079616E" w:rsidP="00C06F3D">
            <w:pPr>
              <w:pStyle w:val="Corpotesto"/>
              <w:ind w:right="45"/>
              <w:jc w:val="both"/>
              <w:rPr>
                <w:rFonts w:ascii="Arial" w:hAnsi="Arial" w:cs="Arial"/>
                <w:sz w:val="20"/>
                <w:szCs w:val="20"/>
              </w:rPr>
            </w:pPr>
            <w:r w:rsidRPr="00026757">
              <w:rPr>
                <w:rFonts w:ascii="Arial" w:hAnsi="Arial" w:cs="Arial"/>
                <w:sz w:val="20"/>
                <w:szCs w:val="20"/>
              </w:rPr>
              <w:t xml:space="preserve">Descrivere le regole specifiche per la contabilizzazione delle emissioni e degli assorbimenti per i terreni forestali gestiti. </w:t>
            </w:r>
          </w:p>
          <w:p w14:paraId="7DC00A0F" w14:textId="66AE225C" w:rsidR="00105793" w:rsidRPr="00026757" w:rsidRDefault="00105793" w:rsidP="00C06F3D">
            <w:pPr>
              <w:pStyle w:val="Corpotesto"/>
              <w:ind w:right="45"/>
              <w:jc w:val="both"/>
              <w:rPr>
                <w:rFonts w:ascii="Arial" w:hAnsi="Arial" w:cs="Arial"/>
                <w:sz w:val="20"/>
                <w:szCs w:val="20"/>
              </w:rPr>
            </w:pPr>
            <w:r>
              <w:rPr>
                <w:rFonts w:ascii="Arial" w:hAnsi="Arial" w:cs="Arial"/>
                <w:sz w:val="20"/>
                <w:szCs w:val="20"/>
              </w:rPr>
              <w:t>Richiede la definizione di un FRL (</w:t>
            </w:r>
            <w:proofErr w:type="spellStart"/>
            <w:r>
              <w:rPr>
                <w:rFonts w:ascii="Arial" w:hAnsi="Arial" w:cs="Arial"/>
                <w:sz w:val="20"/>
                <w:szCs w:val="20"/>
              </w:rPr>
              <w:t>Forest</w:t>
            </w:r>
            <w:proofErr w:type="spellEnd"/>
            <w:r>
              <w:rPr>
                <w:rFonts w:ascii="Arial" w:hAnsi="Arial" w:cs="Arial"/>
                <w:sz w:val="20"/>
                <w:szCs w:val="20"/>
              </w:rPr>
              <w:t xml:space="preserve"> Reference Level</w:t>
            </w:r>
            <w:r w:rsidR="009F5206">
              <w:rPr>
                <w:rFonts w:ascii="Arial" w:hAnsi="Arial" w:cs="Arial"/>
                <w:sz w:val="20"/>
                <w:szCs w:val="20"/>
              </w:rPr>
              <w:t xml:space="preserve">) che deve essere presentato mediante un Piano Nazionale di Contabilizzazione Forestale (NFAP – National </w:t>
            </w:r>
            <w:proofErr w:type="spellStart"/>
            <w:r w:rsidR="009F5206">
              <w:rPr>
                <w:rFonts w:ascii="Arial" w:hAnsi="Arial" w:cs="Arial"/>
                <w:sz w:val="20"/>
                <w:szCs w:val="20"/>
              </w:rPr>
              <w:t>Forest</w:t>
            </w:r>
            <w:proofErr w:type="spellEnd"/>
            <w:r w:rsidR="009F5206">
              <w:rPr>
                <w:rFonts w:ascii="Arial" w:hAnsi="Arial" w:cs="Arial"/>
                <w:sz w:val="20"/>
                <w:szCs w:val="20"/>
              </w:rPr>
              <w:t xml:space="preserve"> Accounting Plan)</w:t>
            </w:r>
            <w:r w:rsidR="00B553FF">
              <w:rPr>
                <w:rFonts w:ascii="Arial" w:hAnsi="Arial" w:cs="Arial"/>
                <w:sz w:val="20"/>
                <w:szCs w:val="20"/>
              </w:rPr>
              <w:t xml:space="preserve">. Il </w:t>
            </w:r>
            <w:proofErr w:type="spellStart"/>
            <w:r w:rsidR="00B553FF">
              <w:rPr>
                <w:rFonts w:ascii="Arial" w:hAnsi="Arial" w:cs="Arial"/>
                <w:sz w:val="20"/>
                <w:szCs w:val="20"/>
              </w:rPr>
              <w:t>FRl</w:t>
            </w:r>
            <w:proofErr w:type="spellEnd"/>
            <w:r w:rsidR="00B553FF">
              <w:rPr>
                <w:rFonts w:ascii="Arial" w:hAnsi="Arial" w:cs="Arial"/>
                <w:sz w:val="20"/>
                <w:szCs w:val="20"/>
              </w:rPr>
              <w:t xml:space="preserve"> e il NF</w:t>
            </w:r>
            <w:r w:rsidR="00236E92">
              <w:rPr>
                <w:rFonts w:ascii="Arial" w:hAnsi="Arial" w:cs="Arial"/>
                <w:sz w:val="20"/>
                <w:szCs w:val="20"/>
              </w:rPr>
              <w:t xml:space="preserve">AD sono adottati mediante successivi atti delegati, ovvero atti normativi a seguire. </w:t>
            </w:r>
          </w:p>
        </w:tc>
        <w:tc>
          <w:tcPr>
            <w:tcW w:w="3852" w:type="dxa"/>
          </w:tcPr>
          <w:p w14:paraId="3DE0ACFB" w14:textId="77777777" w:rsidR="0079616E" w:rsidRDefault="0079616E" w:rsidP="00916689">
            <w:pPr>
              <w:pStyle w:val="Corpotesto"/>
              <w:ind w:right="45"/>
              <w:jc w:val="both"/>
              <w:rPr>
                <w:rFonts w:ascii="Arial" w:hAnsi="Arial" w:cs="Arial"/>
                <w:sz w:val="20"/>
                <w:szCs w:val="20"/>
              </w:rPr>
            </w:pPr>
            <w:r>
              <w:rPr>
                <w:rFonts w:ascii="Arial" w:hAnsi="Arial" w:cs="Arial"/>
                <w:sz w:val="20"/>
                <w:szCs w:val="20"/>
              </w:rPr>
              <w:t xml:space="preserve">Il calcolo stabilito da questo articolo è il seguente. </w:t>
            </w:r>
            <w:r w:rsidRPr="00E76A53">
              <w:rPr>
                <w:rFonts w:ascii="Arial" w:hAnsi="Arial" w:cs="Arial"/>
                <w:sz w:val="20"/>
                <w:szCs w:val="20"/>
              </w:rPr>
              <w:t>E-A - Livello Riferimento</w:t>
            </w:r>
            <w:r>
              <w:rPr>
                <w:rFonts w:ascii="Arial" w:hAnsi="Arial" w:cs="Arial"/>
                <w:sz w:val="20"/>
                <w:szCs w:val="20"/>
              </w:rPr>
              <w:t xml:space="preserve"> </w:t>
            </w:r>
            <w:r w:rsidRPr="00E76A53">
              <w:rPr>
                <w:rFonts w:ascii="Arial" w:hAnsi="Arial" w:cs="Arial"/>
                <w:sz w:val="20"/>
                <w:szCs w:val="20"/>
              </w:rPr>
              <w:t>(FRL) SM</w:t>
            </w:r>
            <w:r>
              <w:rPr>
                <w:rFonts w:ascii="Arial" w:hAnsi="Arial" w:cs="Arial"/>
                <w:sz w:val="20"/>
                <w:szCs w:val="20"/>
              </w:rPr>
              <w:t xml:space="preserve"> </w:t>
            </w:r>
            <w:r w:rsidRPr="00E76A53">
              <w:rPr>
                <w:rFonts w:ascii="Arial" w:hAnsi="Arial" w:cs="Arial"/>
                <w:sz w:val="20"/>
                <w:szCs w:val="20"/>
              </w:rPr>
              <w:t>*</w:t>
            </w:r>
            <w:r>
              <w:rPr>
                <w:rFonts w:ascii="Arial" w:hAnsi="Arial" w:cs="Arial"/>
                <w:sz w:val="20"/>
                <w:szCs w:val="20"/>
              </w:rPr>
              <w:t xml:space="preserve"> </w:t>
            </w:r>
            <w:r w:rsidRPr="00E76A53">
              <w:rPr>
                <w:rFonts w:ascii="Arial" w:hAnsi="Arial" w:cs="Arial"/>
                <w:sz w:val="20"/>
                <w:szCs w:val="20"/>
              </w:rPr>
              <w:t>5</w:t>
            </w:r>
            <w:r>
              <w:rPr>
                <w:rFonts w:ascii="Arial" w:hAnsi="Arial" w:cs="Arial"/>
                <w:sz w:val="20"/>
                <w:szCs w:val="20"/>
              </w:rPr>
              <w:t xml:space="preserve"> anni. </w:t>
            </w:r>
            <w:r w:rsidRPr="00E76A53">
              <w:rPr>
                <w:rFonts w:ascii="Arial" w:hAnsi="Arial" w:cs="Arial"/>
                <w:sz w:val="20"/>
                <w:szCs w:val="20"/>
              </w:rPr>
              <w:t xml:space="preserve"> (1). Se il valore di (1) &lt;0, si</w:t>
            </w:r>
            <w:r>
              <w:rPr>
                <w:rFonts w:ascii="Arial" w:hAnsi="Arial" w:cs="Arial"/>
                <w:sz w:val="20"/>
                <w:szCs w:val="20"/>
              </w:rPr>
              <w:t xml:space="preserve"> può</w:t>
            </w:r>
            <w:r w:rsidRPr="00E76A53">
              <w:rPr>
                <w:rFonts w:ascii="Arial" w:hAnsi="Arial" w:cs="Arial"/>
                <w:sz w:val="20"/>
                <w:szCs w:val="20"/>
              </w:rPr>
              <w:t xml:space="preserve"> include</w:t>
            </w:r>
            <w:r>
              <w:rPr>
                <w:rFonts w:ascii="Arial" w:hAnsi="Arial" w:cs="Arial"/>
                <w:sz w:val="20"/>
                <w:szCs w:val="20"/>
              </w:rPr>
              <w:t>re</w:t>
            </w:r>
            <w:r w:rsidRPr="00E76A53">
              <w:rPr>
                <w:rFonts w:ascii="Arial" w:hAnsi="Arial" w:cs="Arial"/>
                <w:sz w:val="20"/>
                <w:szCs w:val="20"/>
              </w:rPr>
              <w:t xml:space="preserve"> nella compensazione</w:t>
            </w:r>
            <w:r>
              <w:rPr>
                <w:rFonts w:ascii="Arial" w:hAnsi="Arial" w:cs="Arial"/>
                <w:sz w:val="20"/>
                <w:szCs w:val="20"/>
              </w:rPr>
              <w:t xml:space="preserve"> delle emissioni fino a massimo de</w:t>
            </w:r>
            <w:r w:rsidRPr="00E76A53">
              <w:rPr>
                <w:rFonts w:ascii="Arial" w:hAnsi="Arial" w:cs="Arial"/>
                <w:sz w:val="20"/>
                <w:szCs w:val="20"/>
              </w:rPr>
              <w:t>l 3,5% delle emissioni dello SM dell'anno di riferimento di Allegato III</w:t>
            </w:r>
            <w:r>
              <w:rPr>
                <w:rFonts w:ascii="Arial" w:hAnsi="Arial" w:cs="Arial"/>
                <w:sz w:val="20"/>
                <w:szCs w:val="20"/>
              </w:rPr>
              <w:t xml:space="preserve">, che </w:t>
            </w:r>
            <w:r w:rsidRPr="00E76A53">
              <w:rPr>
                <w:rFonts w:ascii="Arial" w:hAnsi="Arial" w:cs="Arial"/>
                <w:sz w:val="20"/>
                <w:szCs w:val="20"/>
              </w:rPr>
              <w:t>l'Italia</w:t>
            </w:r>
            <w:r>
              <w:rPr>
                <w:rFonts w:ascii="Arial" w:hAnsi="Arial" w:cs="Arial"/>
                <w:sz w:val="20"/>
                <w:szCs w:val="20"/>
              </w:rPr>
              <w:t xml:space="preserve"> è il</w:t>
            </w:r>
            <w:r w:rsidRPr="00E76A53">
              <w:rPr>
                <w:rFonts w:ascii="Arial" w:hAnsi="Arial" w:cs="Arial"/>
                <w:sz w:val="20"/>
                <w:szCs w:val="20"/>
              </w:rPr>
              <w:t xml:space="preserve"> 1990</w:t>
            </w:r>
            <w:r>
              <w:rPr>
                <w:rStyle w:val="Rimandonotaapidipagina"/>
                <w:rFonts w:ascii="Arial" w:hAnsi="Arial" w:cs="Arial"/>
                <w:sz w:val="20"/>
                <w:szCs w:val="20"/>
              </w:rPr>
              <w:footnoteReference w:id="41"/>
            </w:r>
            <w:r>
              <w:rPr>
                <w:rFonts w:ascii="Arial" w:hAnsi="Arial" w:cs="Arial"/>
                <w:sz w:val="20"/>
                <w:szCs w:val="20"/>
              </w:rPr>
              <w:t xml:space="preserve">. </w:t>
            </w:r>
          </w:p>
          <w:p w14:paraId="4B4EDDAE" w14:textId="2485D8F3" w:rsidR="00950A66" w:rsidRPr="00D851EA" w:rsidRDefault="00950A66" w:rsidP="00916689">
            <w:pPr>
              <w:pStyle w:val="Corpotesto"/>
              <w:ind w:right="45"/>
              <w:jc w:val="both"/>
              <w:rPr>
                <w:rFonts w:ascii="Arial" w:hAnsi="Arial" w:cs="Arial"/>
                <w:sz w:val="20"/>
                <w:szCs w:val="20"/>
              </w:rPr>
            </w:pPr>
          </w:p>
        </w:tc>
      </w:tr>
      <w:tr w:rsidR="0079616E" w:rsidRPr="00D851EA" w14:paraId="4853B58B" w14:textId="77777777" w:rsidTr="0079616E">
        <w:tc>
          <w:tcPr>
            <w:tcW w:w="1168" w:type="dxa"/>
          </w:tcPr>
          <w:p w14:paraId="7FA7BE4C" w14:textId="740319A7" w:rsidR="0079616E" w:rsidRPr="00575F69" w:rsidRDefault="0079616E" w:rsidP="002D34BF">
            <w:pPr>
              <w:pStyle w:val="Corpotesto"/>
              <w:ind w:right="45"/>
              <w:jc w:val="both"/>
              <w:rPr>
                <w:rFonts w:ascii="Arial" w:hAnsi="Arial" w:cs="Arial"/>
                <w:sz w:val="20"/>
                <w:szCs w:val="20"/>
              </w:rPr>
            </w:pPr>
            <w:r>
              <w:rPr>
                <w:rFonts w:ascii="Arial" w:hAnsi="Arial" w:cs="Arial"/>
                <w:sz w:val="20"/>
                <w:szCs w:val="20"/>
              </w:rPr>
              <w:t>Art. 9</w:t>
            </w:r>
          </w:p>
        </w:tc>
        <w:tc>
          <w:tcPr>
            <w:tcW w:w="4752" w:type="dxa"/>
          </w:tcPr>
          <w:p w14:paraId="20E06D20" w14:textId="77777777" w:rsidR="0079616E" w:rsidRPr="00026757" w:rsidRDefault="0079616E" w:rsidP="002D34BF">
            <w:pPr>
              <w:pStyle w:val="Corpotesto"/>
              <w:ind w:right="45"/>
              <w:jc w:val="both"/>
              <w:rPr>
                <w:rFonts w:ascii="Arial" w:hAnsi="Arial" w:cs="Arial"/>
                <w:sz w:val="20"/>
                <w:szCs w:val="20"/>
              </w:rPr>
            </w:pPr>
            <w:r w:rsidRPr="00026757">
              <w:rPr>
                <w:rFonts w:ascii="Arial" w:eastAsiaTheme="minorHAnsi" w:hAnsi="Arial" w:cs="Arial"/>
                <w:b/>
                <w:bCs/>
                <w:sz w:val="20"/>
                <w:szCs w:val="20"/>
              </w:rPr>
              <w:t>Contabilizzazione relativa ai prodotti legnosi</w:t>
            </w:r>
          </w:p>
          <w:p w14:paraId="613C75B9" w14:textId="5CC73A0B" w:rsidR="0079616E" w:rsidRPr="00026757" w:rsidRDefault="0079616E" w:rsidP="002D34BF">
            <w:pPr>
              <w:pStyle w:val="Corpotesto"/>
              <w:ind w:right="45"/>
              <w:jc w:val="both"/>
              <w:rPr>
                <w:rFonts w:ascii="Arial" w:hAnsi="Arial" w:cs="Arial"/>
                <w:sz w:val="20"/>
                <w:szCs w:val="20"/>
              </w:rPr>
            </w:pPr>
            <w:r w:rsidRPr="00026757">
              <w:rPr>
                <w:rFonts w:ascii="Arial" w:hAnsi="Arial" w:cs="Arial"/>
                <w:sz w:val="20"/>
                <w:szCs w:val="20"/>
              </w:rPr>
              <w:t>Stabilisce la contabilizzazione specifica per i prodotti legnosi, in particolare per a) carta, b) pannelli di legno e c) legno segato</w:t>
            </w:r>
            <w:r>
              <w:rPr>
                <w:rStyle w:val="Rimandonotaapidipagina"/>
                <w:rFonts w:ascii="Arial" w:hAnsi="Arial" w:cs="Arial"/>
                <w:sz w:val="20"/>
                <w:szCs w:val="20"/>
              </w:rPr>
              <w:footnoteReference w:id="42"/>
            </w:r>
            <w:r w:rsidRPr="00026757">
              <w:rPr>
                <w:rFonts w:ascii="Arial" w:hAnsi="Arial" w:cs="Arial"/>
                <w:sz w:val="20"/>
                <w:szCs w:val="20"/>
              </w:rPr>
              <w:t xml:space="preserve">. </w:t>
            </w:r>
          </w:p>
        </w:tc>
        <w:tc>
          <w:tcPr>
            <w:tcW w:w="3852" w:type="dxa"/>
          </w:tcPr>
          <w:p w14:paraId="677D2DD2" w14:textId="346E8C15" w:rsidR="0079616E" w:rsidRPr="00D851EA" w:rsidRDefault="0079616E" w:rsidP="002D34BF">
            <w:pPr>
              <w:pStyle w:val="Corpotesto"/>
              <w:ind w:right="45"/>
              <w:jc w:val="both"/>
              <w:rPr>
                <w:rFonts w:ascii="Arial" w:hAnsi="Arial" w:cs="Arial"/>
                <w:sz w:val="20"/>
                <w:szCs w:val="20"/>
              </w:rPr>
            </w:pPr>
            <w:r>
              <w:rPr>
                <w:rFonts w:ascii="Arial" w:hAnsi="Arial" w:cs="Arial"/>
                <w:sz w:val="20"/>
                <w:szCs w:val="20"/>
              </w:rPr>
              <w:t>Nell’Allegato V sono stabilirti i seguenti valori di emivita: 1) carta 2 anni; 2) pannelli legno: 25 anni; 3) legno segato: 35 anni.</w:t>
            </w:r>
          </w:p>
        </w:tc>
      </w:tr>
      <w:tr w:rsidR="0079616E" w:rsidRPr="00D851EA" w14:paraId="62306C22" w14:textId="77777777" w:rsidTr="0079616E">
        <w:tc>
          <w:tcPr>
            <w:tcW w:w="1168" w:type="dxa"/>
          </w:tcPr>
          <w:p w14:paraId="658775F9" w14:textId="081388C2" w:rsidR="0079616E" w:rsidRPr="00575F69" w:rsidRDefault="0079616E" w:rsidP="002D34BF">
            <w:pPr>
              <w:pStyle w:val="Corpotesto"/>
              <w:ind w:right="45"/>
              <w:jc w:val="both"/>
              <w:rPr>
                <w:rFonts w:ascii="Arial" w:hAnsi="Arial" w:cs="Arial"/>
                <w:sz w:val="20"/>
                <w:szCs w:val="20"/>
              </w:rPr>
            </w:pPr>
            <w:r>
              <w:rPr>
                <w:rFonts w:ascii="Arial" w:hAnsi="Arial" w:cs="Arial"/>
                <w:sz w:val="20"/>
                <w:szCs w:val="20"/>
              </w:rPr>
              <w:t>Art. 10</w:t>
            </w:r>
          </w:p>
        </w:tc>
        <w:tc>
          <w:tcPr>
            <w:tcW w:w="4752" w:type="dxa"/>
          </w:tcPr>
          <w:p w14:paraId="67037F31" w14:textId="77777777" w:rsidR="0079616E" w:rsidRPr="00026757" w:rsidRDefault="0079616E" w:rsidP="002D34BF">
            <w:pPr>
              <w:pStyle w:val="Corpotesto"/>
              <w:ind w:right="45"/>
              <w:jc w:val="both"/>
              <w:rPr>
                <w:rFonts w:ascii="Arial" w:hAnsi="Arial" w:cs="Arial"/>
                <w:sz w:val="20"/>
                <w:szCs w:val="20"/>
              </w:rPr>
            </w:pPr>
            <w:r w:rsidRPr="00026757">
              <w:rPr>
                <w:rFonts w:ascii="Arial" w:eastAsiaTheme="minorHAnsi" w:hAnsi="Arial" w:cs="Arial"/>
                <w:b/>
                <w:bCs/>
                <w:sz w:val="20"/>
                <w:szCs w:val="20"/>
              </w:rPr>
              <w:t>Contabilizzazione relativa ai disturbi naturali</w:t>
            </w:r>
          </w:p>
          <w:p w14:paraId="18C5BF74" w14:textId="570ECF01" w:rsidR="0079616E" w:rsidRPr="00026757" w:rsidRDefault="0079616E" w:rsidP="002D34BF">
            <w:pPr>
              <w:pStyle w:val="Corpotesto"/>
              <w:ind w:right="45"/>
              <w:jc w:val="both"/>
              <w:rPr>
                <w:rFonts w:ascii="Arial" w:hAnsi="Arial" w:cs="Arial"/>
                <w:sz w:val="20"/>
                <w:szCs w:val="20"/>
              </w:rPr>
            </w:pPr>
            <w:r w:rsidRPr="00026757">
              <w:rPr>
                <w:rFonts w:ascii="Arial" w:hAnsi="Arial" w:cs="Arial"/>
                <w:sz w:val="20"/>
                <w:szCs w:val="20"/>
              </w:rPr>
              <w:t xml:space="preserve">Stabilisce come inserire i disturbi naturali nella contabilizzazione. </w:t>
            </w:r>
            <w:r w:rsidR="00C36857" w:rsidRPr="00026757">
              <w:rPr>
                <w:rFonts w:ascii="Arial" w:hAnsi="Arial" w:cs="Arial"/>
                <w:sz w:val="20"/>
                <w:szCs w:val="20"/>
              </w:rPr>
              <w:t>È</w:t>
            </w:r>
            <w:r w:rsidRPr="00026757">
              <w:rPr>
                <w:rFonts w:ascii="Arial" w:hAnsi="Arial" w:cs="Arial"/>
                <w:sz w:val="20"/>
                <w:szCs w:val="20"/>
              </w:rPr>
              <w:t xml:space="preserve"> consentito </w:t>
            </w:r>
            <w:r w:rsidR="00C36857">
              <w:rPr>
                <w:rFonts w:ascii="Arial" w:hAnsi="Arial" w:cs="Arial"/>
                <w:sz w:val="20"/>
                <w:szCs w:val="20"/>
              </w:rPr>
              <w:t>escludere i</w:t>
            </w:r>
            <w:r w:rsidRPr="00026757">
              <w:rPr>
                <w:rFonts w:ascii="Arial" w:hAnsi="Arial" w:cs="Arial"/>
                <w:sz w:val="20"/>
                <w:szCs w:val="20"/>
              </w:rPr>
              <w:t xml:space="preserve"> disturbi naturali che superano la media delle emissioni della stessa origine per periodo 2001-2020, salvo valori anomali </w:t>
            </w:r>
          </w:p>
        </w:tc>
        <w:tc>
          <w:tcPr>
            <w:tcW w:w="3852" w:type="dxa"/>
          </w:tcPr>
          <w:p w14:paraId="754E917D" w14:textId="29795B49" w:rsidR="0079616E" w:rsidRPr="00D851EA" w:rsidRDefault="0079616E" w:rsidP="002D34BF">
            <w:pPr>
              <w:pStyle w:val="Corpotesto"/>
              <w:ind w:right="45"/>
              <w:jc w:val="both"/>
              <w:rPr>
                <w:rFonts w:ascii="Arial" w:hAnsi="Arial" w:cs="Arial"/>
                <w:sz w:val="20"/>
                <w:szCs w:val="20"/>
              </w:rPr>
            </w:pPr>
            <w:r w:rsidRPr="00E76A53">
              <w:rPr>
                <w:rFonts w:ascii="Arial" w:hAnsi="Arial" w:cs="Arial"/>
                <w:sz w:val="20"/>
                <w:szCs w:val="20"/>
              </w:rPr>
              <w:t>Nell'Allegato VI è definita la metodologia, che è una media annuale con esclusione progressiva delle varianze</w:t>
            </w:r>
            <w:r>
              <w:rPr>
                <w:rFonts w:ascii="Arial" w:hAnsi="Arial" w:cs="Arial"/>
                <w:sz w:val="20"/>
                <w:szCs w:val="20"/>
              </w:rPr>
              <w:t>. Il criterio di contabilizzazione deve essere valutato e approvato dalla Commissione.</w:t>
            </w:r>
          </w:p>
        </w:tc>
      </w:tr>
    </w:tbl>
    <w:p w14:paraId="19C4D8C2" w14:textId="6AEA20CE" w:rsidR="00771AA3" w:rsidRDefault="00771AA3"/>
    <w:p w14:paraId="6DBED663" w14:textId="51D8ADAE" w:rsidR="00C06F3D" w:rsidRPr="001E3CF4" w:rsidRDefault="00D7587A" w:rsidP="001E3CF4">
      <w:pPr>
        <w:ind w:firstLine="567"/>
        <w:jc w:val="both"/>
        <w:rPr>
          <w:rFonts w:ascii="Arial" w:hAnsi="Arial" w:cs="Arial"/>
          <w:sz w:val="24"/>
          <w:szCs w:val="24"/>
        </w:rPr>
      </w:pPr>
      <w:r w:rsidRPr="001E3CF4">
        <w:rPr>
          <w:rFonts w:ascii="Arial" w:hAnsi="Arial" w:cs="Arial"/>
          <w:sz w:val="24"/>
          <w:szCs w:val="24"/>
        </w:rPr>
        <w:t xml:space="preserve">Le regole per la contabilizzazione sono </w:t>
      </w:r>
      <w:r w:rsidR="00A766E9" w:rsidRPr="001E3CF4">
        <w:rPr>
          <w:rFonts w:ascii="Arial" w:hAnsi="Arial" w:cs="Arial"/>
          <w:sz w:val="24"/>
          <w:szCs w:val="24"/>
        </w:rPr>
        <w:t xml:space="preserve">piuttosto articolate </w:t>
      </w:r>
      <w:r w:rsidR="00ED2B18" w:rsidRPr="001E3CF4">
        <w:rPr>
          <w:rFonts w:ascii="Arial" w:hAnsi="Arial" w:cs="Arial"/>
          <w:sz w:val="24"/>
          <w:szCs w:val="24"/>
        </w:rPr>
        <w:t xml:space="preserve">e non a caso fanno </w:t>
      </w:r>
      <w:r w:rsidR="00ED2B18" w:rsidRPr="001E3CF4">
        <w:rPr>
          <w:rFonts w:ascii="Arial" w:hAnsi="Arial" w:cs="Arial"/>
          <w:sz w:val="24"/>
          <w:szCs w:val="24"/>
        </w:rPr>
        <w:lastRenderedPageBreak/>
        <w:t xml:space="preserve">riferimento a più atti delegati, </w:t>
      </w:r>
      <w:r w:rsidR="00B624F8" w:rsidRPr="001E3CF4">
        <w:rPr>
          <w:rFonts w:ascii="Arial" w:hAnsi="Arial" w:cs="Arial"/>
          <w:sz w:val="24"/>
          <w:szCs w:val="24"/>
        </w:rPr>
        <w:t xml:space="preserve">descritti </w:t>
      </w:r>
      <w:r w:rsidR="00DF7199" w:rsidRPr="001E3CF4">
        <w:rPr>
          <w:rFonts w:ascii="Arial" w:hAnsi="Arial" w:cs="Arial"/>
          <w:sz w:val="24"/>
          <w:szCs w:val="24"/>
        </w:rPr>
        <w:t xml:space="preserve">nelle procedure di conformità dell’articolo 14. </w:t>
      </w:r>
      <w:r w:rsidR="00B2243E" w:rsidRPr="001E3CF4">
        <w:rPr>
          <w:rFonts w:ascii="Arial" w:hAnsi="Arial" w:cs="Arial"/>
          <w:sz w:val="24"/>
          <w:szCs w:val="24"/>
        </w:rPr>
        <w:t>Per quanto attiene alla contabilizzazione dei terreni forestali</w:t>
      </w:r>
      <w:r w:rsidR="001E3CF4" w:rsidRPr="001E3CF4">
        <w:rPr>
          <w:rFonts w:ascii="Arial" w:hAnsi="Arial" w:cs="Arial"/>
          <w:sz w:val="24"/>
          <w:szCs w:val="24"/>
        </w:rPr>
        <w:t>, l</w:t>
      </w:r>
      <w:r w:rsidR="00C06F3D" w:rsidRPr="001E3CF4">
        <w:rPr>
          <w:rFonts w:ascii="Arial" w:hAnsi="Arial" w:cs="Arial"/>
          <w:sz w:val="24"/>
          <w:szCs w:val="24"/>
        </w:rPr>
        <w:t>a procedura di base è la seguente:</w:t>
      </w:r>
    </w:p>
    <w:p w14:paraId="4D337F56" w14:textId="77777777" w:rsidR="00C06F3D" w:rsidRPr="001E3CF4" w:rsidRDefault="00C06F3D" w:rsidP="000D531D">
      <w:pPr>
        <w:pStyle w:val="Corpotesto"/>
        <w:numPr>
          <w:ilvl w:val="0"/>
          <w:numId w:val="7"/>
        </w:numPr>
        <w:ind w:right="45"/>
        <w:jc w:val="both"/>
        <w:rPr>
          <w:rFonts w:ascii="Arial" w:hAnsi="Arial" w:cs="Arial"/>
          <w:sz w:val="24"/>
          <w:szCs w:val="24"/>
        </w:rPr>
      </w:pPr>
      <w:r w:rsidRPr="001E3CF4">
        <w:rPr>
          <w:rFonts w:ascii="Arial" w:hAnsi="Arial" w:cs="Arial"/>
          <w:sz w:val="24"/>
          <w:szCs w:val="24"/>
        </w:rPr>
        <w:t>Si calcolano le emissioni e gli assorbimenti per i periodi 2021-25 e 2026-30.</w:t>
      </w:r>
    </w:p>
    <w:p w14:paraId="4BA8EB52" w14:textId="37C1D0F4" w:rsidR="00C06F3D" w:rsidRPr="001E3CF4" w:rsidRDefault="00C06F3D" w:rsidP="000D531D">
      <w:pPr>
        <w:pStyle w:val="Corpotesto"/>
        <w:numPr>
          <w:ilvl w:val="0"/>
          <w:numId w:val="7"/>
        </w:numPr>
        <w:ind w:right="45"/>
        <w:jc w:val="both"/>
        <w:rPr>
          <w:rFonts w:ascii="Arial" w:hAnsi="Arial" w:cs="Arial"/>
          <w:sz w:val="24"/>
          <w:szCs w:val="24"/>
        </w:rPr>
      </w:pPr>
      <w:r w:rsidRPr="001E3CF4">
        <w:rPr>
          <w:rFonts w:ascii="Arial" w:hAnsi="Arial" w:cs="Arial"/>
          <w:sz w:val="24"/>
          <w:szCs w:val="24"/>
        </w:rPr>
        <w:t>Per ogni periodo si sottrae il Livello di Riferimento (</w:t>
      </w:r>
      <w:r w:rsidRPr="001E3CF4">
        <w:rPr>
          <w:rFonts w:ascii="Arial" w:hAnsi="Arial" w:cs="Arial"/>
          <w:b/>
          <w:bCs/>
          <w:i/>
          <w:iCs/>
          <w:sz w:val="24"/>
          <w:szCs w:val="24"/>
        </w:rPr>
        <w:t xml:space="preserve">FRL - </w:t>
      </w:r>
      <w:proofErr w:type="spellStart"/>
      <w:r w:rsidRPr="001E3CF4">
        <w:rPr>
          <w:rFonts w:ascii="Arial" w:hAnsi="Arial" w:cs="Arial"/>
          <w:b/>
          <w:bCs/>
          <w:i/>
          <w:iCs/>
          <w:sz w:val="24"/>
          <w:szCs w:val="24"/>
        </w:rPr>
        <w:t>Forest</w:t>
      </w:r>
      <w:proofErr w:type="spellEnd"/>
      <w:r w:rsidRPr="001E3CF4">
        <w:rPr>
          <w:rFonts w:ascii="Arial" w:hAnsi="Arial" w:cs="Arial"/>
          <w:b/>
          <w:bCs/>
          <w:i/>
          <w:iCs/>
          <w:sz w:val="24"/>
          <w:szCs w:val="24"/>
        </w:rPr>
        <w:t xml:space="preserve"> Reference Level</w:t>
      </w:r>
      <w:r w:rsidRPr="001E3CF4">
        <w:rPr>
          <w:rFonts w:ascii="Arial" w:hAnsi="Arial" w:cs="Arial"/>
          <w:sz w:val="24"/>
          <w:szCs w:val="24"/>
        </w:rPr>
        <w:t>) moltiplicato per 5</w:t>
      </w:r>
      <w:r w:rsidR="00993BB8">
        <w:rPr>
          <w:rStyle w:val="Rimandonotaapidipagina"/>
          <w:rFonts w:ascii="Arial" w:hAnsi="Arial" w:cs="Arial"/>
          <w:sz w:val="24"/>
          <w:szCs w:val="24"/>
        </w:rPr>
        <w:footnoteReference w:id="43"/>
      </w:r>
      <w:r w:rsidRPr="001E3CF4">
        <w:rPr>
          <w:rFonts w:ascii="Arial" w:hAnsi="Arial" w:cs="Arial"/>
          <w:sz w:val="24"/>
          <w:szCs w:val="24"/>
        </w:rPr>
        <w:t>.</w:t>
      </w:r>
    </w:p>
    <w:p w14:paraId="2A5883E7" w14:textId="77777777" w:rsidR="00C06F3D" w:rsidRPr="001E3CF4" w:rsidRDefault="00C06F3D" w:rsidP="000D531D">
      <w:pPr>
        <w:pStyle w:val="Corpotesto"/>
        <w:numPr>
          <w:ilvl w:val="0"/>
          <w:numId w:val="7"/>
        </w:numPr>
        <w:ind w:right="45"/>
        <w:jc w:val="both"/>
        <w:rPr>
          <w:rFonts w:ascii="Arial" w:hAnsi="Arial" w:cs="Arial"/>
          <w:sz w:val="24"/>
          <w:szCs w:val="24"/>
        </w:rPr>
      </w:pPr>
      <w:r w:rsidRPr="001E3CF4">
        <w:rPr>
          <w:rFonts w:ascii="Arial" w:hAnsi="Arial" w:cs="Arial"/>
          <w:sz w:val="24"/>
          <w:szCs w:val="24"/>
        </w:rPr>
        <w:t>Se il valore emergente è negativo, allora lo Stato Membro può utilizzare nella contabilizzazione relativa un valore non superiore al 3,5% delle emissioni dell’anno base stabilito in Allegato III.</w:t>
      </w:r>
    </w:p>
    <w:p w14:paraId="6E881958" w14:textId="77777777" w:rsidR="001E3CF4" w:rsidRDefault="001E3CF4" w:rsidP="00C06F3D">
      <w:pPr>
        <w:pStyle w:val="Corpotesto"/>
        <w:ind w:right="45"/>
        <w:jc w:val="both"/>
        <w:rPr>
          <w:rFonts w:ascii="Arial" w:hAnsi="Arial" w:cs="Arial"/>
          <w:sz w:val="24"/>
          <w:szCs w:val="24"/>
        </w:rPr>
      </w:pPr>
    </w:p>
    <w:p w14:paraId="1B42E1E2" w14:textId="50769C4A" w:rsidR="005A37BE" w:rsidRDefault="00FF5435" w:rsidP="001E3CF4">
      <w:pPr>
        <w:pStyle w:val="Corpotesto"/>
        <w:ind w:right="45" w:firstLine="567"/>
        <w:jc w:val="both"/>
        <w:rPr>
          <w:rFonts w:ascii="Arial" w:hAnsi="Arial" w:cs="Arial"/>
          <w:sz w:val="24"/>
          <w:szCs w:val="24"/>
        </w:rPr>
      </w:pPr>
      <w:r>
        <w:rPr>
          <w:rFonts w:ascii="Arial" w:hAnsi="Arial" w:cs="Arial"/>
          <w:sz w:val="24"/>
          <w:szCs w:val="24"/>
        </w:rPr>
        <w:t xml:space="preserve">In questa modalità di calcolo gli elementi </w:t>
      </w:r>
      <w:r w:rsidR="006A2BB3">
        <w:rPr>
          <w:rFonts w:ascii="Arial" w:hAnsi="Arial" w:cs="Arial"/>
          <w:sz w:val="24"/>
          <w:szCs w:val="24"/>
        </w:rPr>
        <w:t>da considerare sono chiaramente tre</w:t>
      </w:r>
      <w:r w:rsidR="00E24DD9">
        <w:rPr>
          <w:rFonts w:ascii="Arial" w:hAnsi="Arial" w:cs="Arial"/>
          <w:sz w:val="24"/>
          <w:szCs w:val="24"/>
        </w:rPr>
        <w:t>:</w:t>
      </w:r>
    </w:p>
    <w:p w14:paraId="715694A0" w14:textId="2F54A004" w:rsidR="00E24DD9" w:rsidRDefault="00E24DD9" w:rsidP="00076117">
      <w:pPr>
        <w:pStyle w:val="Corpotesto"/>
        <w:numPr>
          <w:ilvl w:val="0"/>
          <w:numId w:val="15"/>
        </w:numPr>
        <w:ind w:right="45"/>
        <w:jc w:val="both"/>
        <w:rPr>
          <w:rFonts w:ascii="Arial" w:hAnsi="Arial" w:cs="Arial"/>
          <w:sz w:val="24"/>
          <w:szCs w:val="24"/>
        </w:rPr>
      </w:pPr>
      <w:r>
        <w:rPr>
          <w:rFonts w:ascii="Arial" w:hAnsi="Arial" w:cs="Arial"/>
          <w:sz w:val="24"/>
          <w:szCs w:val="24"/>
        </w:rPr>
        <w:t xml:space="preserve">il </w:t>
      </w:r>
      <w:r w:rsidRPr="00A23620">
        <w:rPr>
          <w:rFonts w:ascii="Arial" w:hAnsi="Arial" w:cs="Arial"/>
          <w:i/>
          <w:iCs/>
          <w:sz w:val="24"/>
          <w:szCs w:val="24"/>
        </w:rPr>
        <w:t>sistema di gestione forestale scelto</w:t>
      </w:r>
      <w:r>
        <w:rPr>
          <w:rFonts w:ascii="Arial" w:hAnsi="Arial" w:cs="Arial"/>
          <w:sz w:val="24"/>
          <w:szCs w:val="24"/>
        </w:rPr>
        <w:t xml:space="preserve">, che può incrementare o meno </w:t>
      </w:r>
      <w:r w:rsidR="00865997">
        <w:rPr>
          <w:rFonts w:ascii="Arial" w:hAnsi="Arial" w:cs="Arial"/>
          <w:sz w:val="24"/>
          <w:szCs w:val="24"/>
        </w:rPr>
        <w:t>lo stock di carbonio nelle foreste;</w:t>
      </w:r>
    </w:p>
    <w:p w14:paraId="612FFC53" w14:textId="77777777" w:rsidR="006A09D5" w:rsidRDefault="00865997" w:rsidP="00076117">
      <w:pPr>
        <w:pStyle w:val="Corpotesto"/>
        <w:numPr>
          <w:ilvl w:val="0"/>
          <w:numId w:val="15"/>
        </w:numPr>
        <w:ind w:right="45"/>
        <w:jc w:val="both"/>
        <w:rPr>
          <w:rFonts w:ascii="Arial" w:hAnsi="Arial" w:cs="Arial"/>
          <w:sz w:val="24"/>
          <w:szCs w:val="24"/>
        </w:rPr>
      </w:pPr>
      <w:r>
        <w:rPr>
          <w:rFonts w:ascii="Arial" w:hAnsi="Arial" w:cs="Arial"/>
          <w:sz w:val="24"/>
          <w:szCs w:val="24"/>
        </w:rPr>
        <w:t xml:space="preserve">il </w:t>
      </w:r>
      <w:r w:rsidRPr="00A23620">
        <w:rPr>
          <w:rFonts w:ascii="Arial" w:hAnsi="Arial" w:cs="Arial"/>
          <w:i/>
          <w:iCs/>
          <w:sz w:val="24"/>
          <w:szCs w:val="24"/>
        </w:rPr>
        <w:t>modello scelto</w:t>
      </w:r>
      <w:r w:rsidR="00CB6474" w:rsidRPr="00A23620">
        <w:rPr>
          <w:rFonts w:ascii="Arial" w:hAnsi="Arial" w:cs="Arial"/>
          <w:i/>
          <w:iCs/>
          <w:sz w:val="24"/>
          <w:szCs w:val="24"/>
        </w:rPr>
        <w:t xml:space="preserve"> per la valutazione del carbon stock</w:t>
      </w:r>
      <w:r w:rsidR="00CB6474">
        <w:rPr>
          <w:rFonts w:ascii="Arial" w:hAnsi="Arial" w:cs="Arial"/>
          <w:sz w:val="24"/>
          <w:szCs w:val="24"/>
        </w:rPr>
        <w:t xml:space="preserve">, che </w:t>
      </w:r>
      <w:r w:rsidR="005604C9">
        <w:rPr>
          <w:rFonts w:ascii="Arial" w:hAnsi="Arial" w:cs="Arial"/>
          <w:sz w:val="24"/>
          <w:szCs w:val="24"/>
        </w:rPr>
        <w:t xml:space="preserve">deve </w:t>
      </w:r>
      <w:r w:rsidR="00C04C58">
        <w:rPr>
          <w:rFonts w:ascii="Arial" w:hAnsi="Arial" w:cs="Arial"/>
          <w:sz w:val="24"/>
          <w:szCs w:val="24"/>
        </w:rPr>
        <w:t>seguire le linee guida dell’IPCC e le eventuali modifiche</w:t>
      </w:r>
      <w:r w:rsidR="00233F02">
        <w:rPr>
          <w:rFonts w:ascii="Arial" w:hAnsi="Arial" w:cs="Arial"/>
          <w:sz w:val="24"/>
          <w:szCs w:val="24"/>
        </w:rPr>
        <w:t xml:space="preserve"> dell’IPCC adottate dalla Conferenza delle Parti dell’UC</w:t>
      </w:r>
      <w:r w:rsidR="009152A7">
        <w:rPr>
          <w:rFonts w:ascii="Arial" w:hAnsi="Arial" w:cs="Arial"/>
          <w:sz w:val="24"/>
          <w:szCs w:val="24"/>
        </w:rPr>
        <w:t>FCCC</w:t>
      </w:r>
      <w:r w:rsidR="006A09D5">
        <w:rPr>
          <w:rFonts w:ascii="Arial" w:hAnsi="Arial" w:cs="Arial"/>
          <w:sz w:val="24"/>
          <w:szCs w:val="24"/>
        </w:rPr>
        <w:t>;</w:t>
      </w:r>
    </w:p>
    <w:p w14:paraId="5C8B7ED6" w14:textId="69F4B4BA" w:rsidR="00865997" w:rsidRDefault="006A09D5" w:rsidP="00076117">
      <w:pPr>
        <w:pStyle w:val="Corpotesto"/>
        <w:numPr>
          <w:ilvl w:val="0"/>
          <w:numId w:val="15"/>
        </w:numPr>
        <w:ind w:right="45"/>
        <w:jc w:val="both"/>
        <w:rPr>
          <w:rFonts w:ascii="Arial" w:hAnsi="Arial" w:cs="Arial"/>
          <w:sz w:val="24"/>
          <w:szCs w:val="24"/>
        </w:rPr>
      </w:pPr>
      <w:r>
        <w:rPr>
          <w:rFonts w:ascii="Arial" w:hAnsi="Arial" w:cs="Arial"/>
          <w:sz w:val="24"/>
          <w:szCs w:val="24"/>
        </w:rPr>
        <w:t xml:space="preserve">il </w:t>
      </w:r>
      <w:r w:rsidR="004723AC" w:rsidRPr="00A23620">
        <w:rPr>
          <w:rFonts w:ascii="Arial" w:hAnsi="Arial" w:cs="Arial"/>
          <w:i/>
          <w:iCs/>
          <w:sz w:val="24"/>
          <w:szCs w:val="24"/>
        </w:rPr>
        <w:t>valore del Livello di Riferimento per le Foreste</w:t>
      </w:r>
      <w:r w:rsidR="004723AC">
        <w:rPr>
          <w:rFonts w:ascii="Arial" w:hAnsi="Arial" w:cs="Arial"/>
          <w:sz w:val="24"/>
          <w:szCs w:val="24"/>
        </w:rPr>
        <w:t xml:space="preserve"> (FRL)</w:t>
      </w:r>
      <w:r w:rsidR="009152A7">
        <w:rPr>
          <w:rFonts w:ascii="Arial" w:hAnsi="Arial" w:cs="Arial"/>
          <w:sz w:val="24"/>
          <w:szCs w:val="24"/>
        </w:rPr>
        <w:t xml:space="preserve">. </w:t>
      </w:r>
    </w:p>
    <w:p w14:paraId="6BC620EE" w14:textId="77777777" w:rsidR="004723AC" w:rsidRDefault="004723AC" w:rsidP="001E3CF4">
      <w:pPr>
        <w:pStyle w:val="Corpotesto"/>
        <w:ind w:right="45" w:firstLine="567"/>
        <w:jc w:val="both"/>
        <w:rPr>
          <w:rFonts w:ascii="Arial" w:hAnsi="Arial" w:cs="Arial"/>
          <w:sz w:val="24"/>
          <w:szCs w:val="24"/>
        </w:rPr>
      </w:pPr>
    </w:p>
    <w:p w14:paraId="20C909F7" w14:textId="69D82B46" w:rsidR="00C06F3D" w:rsidRPr="001E3CF4" w:rsidRDefault="00C17360" w:rsidP="00F61870">
      <w:pPr>
        <w:pStyle w:val="Corpotesto"/>
        <w:ind w:right="45" w:firstLine="567"/>
        <w:jc w:val="both"/>
        <w:rPr>
          <w:rFonts w:ascii="Arial" w:hAnsi="Arial" w:cs="Arial"/>
          <w:sz w:val="24"/>
          <w:szCs w:val="24"/>
        </w:rPr>
      </w:pPr>
      <w:r>
        <w:rPr>
          <w:rFonts w:ascii="Arial" w:hAnsi="Arial" w:cs="Arial"/>
          <w:sz w:val="24"/>
          <w:szCs w:val="24"/>
        </w:rPr>
        <w:t xml:space="preserve">Il calcolo del FRL </w:t>
      </w:r>
      <w:r w:rsidR="00107AB0">
        <w:rPr>
          <w:rFonts w:ascii="Arial" w:hAnsi="Arial" w:cs="Arial"/>
          <w:sz w:val="24"/>
          <w:szCs w:val="24"/>
        </w:rPr>
        <w:t xml:space="preserve">per ogni SM viene effettuato da </w:t>
      </w:r>
      <w:r w:rsidR="00F61870">
        <w:rPr>
          <w:rFonts w:ascii="Arial" w:hAnsi="Arial" w:cs="Arial"/>
          <w:sz w:val="24"/>
          <w:szCs w:val="24"/>
        </w:rPr>
        <w:t xml:space="preserve">un organismo incaricato dal governo locale della </w:t>
      </w:r>
      <w:r w:rsidR="00C06F3D" w:rsidRPr="001E3CF4">
        <w:rPr>
          <w:rFonts w:ascii="Arial" w:hAnsi="Arial" w:cs="Arial"/>
          <w:sz w:val="24"/>
          <w:szCs w:val="24"/>
        </w:rPr>
        <w:t xml:space="preserve">compilazione di un </w:t>
      </w:r>
      <w:r w:rsidR="00C06F3D" w:rsidRPr="001E3CF4">
        <w:rPr>
          <w:rFonts w:ascii="Arial" w:hAnsi="Arial" w:cs="Arial"/>
          <w:b/>
          <w:bCs/>
          <w:i/>
          <w:iCs/>
          <w:sz w:val="24"/>
          <w:szCs w:val="24"/>
        </w:rPr>
        <w:t xml:space="preserve">National </w:t>
      </w:r>
      <w:proofErr w:type="spellStart"/>
      <w:r w:rsidR="00C06F3D" w:rsidRPr="001E3CF4">
        <w:rPr>
          <w:rFonts w:ascii="Arial" w:hAnsi="Arial" w:cs="Arial"/>
          <w:b/>
          <w:bCs/>
          <w:i/>
          <w:iCs/>
          <w:sz w:val="24"/>
          <w:szCs w:val="24"/>
        </w:rPr>
        <w:t>Forest</w:t>
      </w:r>
      <w:proofErr w:type="spellEnd"/>
      <w:r w:rsidR="00C06F3D" w:rsidRPr="001E3CF4">
        <w:rPr>
          <w:rFonts w:ascii="Arial" w:hAnsi="Arial" w:cs="Arial"/>
          <w:b/>
          <w:bCs/>
          <w:i/>
          <w:iCs/>
          <w:sz w:val="24"/>
          <w:szCs w:val="24"/>
        </w:rPr>
        <w:t xml:space="preserve"> Accounting Plan (NFAP)</w:t>
      </w:r>
      <w:r w:rsidR="00C06F3D" w:rsidRPr="001E3CF4">
        <w:rPr>
          <w:rFonts w:ascii="Arial" w:hAnsi="Arial" w:cs="Arial"/>
          <w:sz w:val="24"/>
          <w:szCs w:val="24"/>
        </w:rPr>
        <w:t>, all’interno del quale viene proposto il FRL dello SM</w:t>
      </w:r>
      <w:r w:rsidR="001D774F">
        <w:rPr>
          <w:rFonts w:ascii="Arial" w:hAnsi="Arial" w:cs="Arial"/>
          <w:sz w:val="24"/>
          <w:szCs w:val="24"/>
        </w:rPr>
        <w:t>, con la descrizione della metodologia seguita e dei database utilizzati</w:t>
      </w:r>
      <w:r w:rsidR="00C06F3D" w:rsidRPr="001E3CF4">
        <w:rPr>
          <w:rFonts w:ascii="Arial" w:hAnsi="Arial" w:cs="Arial"/>
          <w:sz w:val="24"/>
          <w:szCs w:val="24"/>
        </w:rPr>
        <w:t xml:space="preserve">. </w:t>
      </w:r>
    </w:p>
    <w:p w14:paraId="3EB9E431" w14:textId="6D09CFAF" w:rsidR="00C06F3D" w:rsidRDefault="00C06F3D" w:rsidP="00F75DAF">
      <w:pPr>
        <w:pStyle w:val="Corpotesto"/>
        <w:ind w:right="45" w:firstLine="567"/>
        <w:jc w:val="both"/>
        <w:rPr>
          <w:rFonts w:ascii="Arial" w:hAnsi="Arial" w:cs="Arial"/>
          <w:sz w:val="24"/>
          <w:szCs w:val="24"/>
        </w:rPr>
      </w:pPr>
      <w:r w:rsidRPr="001E3CF4">
        <w:rPr>
          <w:rFonts w:ascii="Arial" w:hAnsi="Arial" w:cs="Arial"/>
          <w:sz w:val="24"/>
          <w:szCs w:val="24"/>
        </w:rPr>
        <w:t>Il calcolo del FRL è basato sulla continuazione delle pratiche di gestione forestale sostenibile documentate nel periodo 2000-2009 e tiene conto di fattori quali l’età delle foreste</w:t>
      </w:r>
      <w:r w:rsidRPr="001E3CF4">
        <w:rPr>
          <w:rStyle w:val="Rimandonotaapidipagina"/>
          <w:rFonts w:ascii="Arial" w:hAnsi="Arial" w:cs="Arial"/>
          <w:sz w:val="24"/>
          <w:szCs w:val="24"/>
        </w:rPr>
        <w:footnoteReference w:id="44"/>
      </w:r>
      <w:r w:rsidR="00534676">
        <w:rPr>
          <w:rStyle w:val="Rimandonotaapidipagina"/>
          <w:rFonts w:ascii="Arial" w:hAnsi="Arial" w:cs="Arial"/>
          <w:sz w:val="24"/>
          <w:szCs w:val="24"/>
        </w:rPr>
        <w:footnoteReference w:id="45"/>
      </w:r>
      <w:r w:rsidRPr="001E3CF4">
        <w:rPr>
          <w:rFonts w:ascii="Arial" w:hAnsi="Arial" w:cs="Arial"/>
          <w:sz w:val="24"/>
          <w:szCs w:val="24"/>
        </w:rPr>
        <w:t xml:space="preserve">. </w:t>
      </w:r>
      <w:r w:rsidR="0010120F">
        <w:rPr>
          <w:rFonts w:ascii="Arial" w:hAnsi="Arial" w:cs="Arial"/>
          <w:sz w:val="24"/>
          <w:szCs w:val="24"/>
        </w:rPr>
        <w:t>Nel Regolamento v</w:t>
      </w:r>
      <w:r w:rsidRPr="001E3CF4">
        <w:rPr>
          <w:rFonts w:ascii="Arial" w:hAnsi="Arial" w:cs="Arial"/>
          <w:sz w:val="24"/>
          <w:szCs w:val="24"/>
        </w:rPr>
        <w:t>engono</w:t>
      </w:r>
      <w:r w:rsidR="00AE4748">
        <w:rPr>
          <w:rFonts w:ascii="Arial" w:hAnsi="Arial" w:cs="Arial"/>
          <w:sz w:val="24"/>
          <w:szCs w:val="24"/>
        </w:rPr>
        <w:t xml:space="preserve"> anche</w:t>
      </w:r>
      <w:r w:rsidRPr="001E3CF4">
        <w:rPr>
          <w:rFonts w:ascii="Arial" w:hAnsi="Arial" w:cs="Arial"/>
          <w:sz w:val="24"/>
          <w:szCs w:val="24"/>
        </w:rPr>
        <w:t xml:space="preserve"> stabilite precise procedure di verifica dei valori proposti, che devono essere approvati dalla Commissione attraverso uno specifico Comitato (LULUCFEG)</w:t>
      </w:r>
      <w:r w:rsidRPr="001E3CF4">
        <w:rPr>
          <w:rStyle w:val="Rimandonotaapidipagina"/>
          <w:rFonts w:ascii="Arial" w:hAnsi="Arial" w:cs="Arial"/>
          <w:sz w:val="24"/>
          <w:szCs w:val="24"/>
        </w:rPr>
        <w:footnoteReference w:id="46"/>
      </w:r>
      <w:r w:rsidRPr="001E3CF4">
        <w:rPr>
          <w:rFonts w:ascii="Arial" w:hAnsi="Arial" w:cs="Arial"/>
          <w:sz w:val="24"/>
          <w:szCs w:val="24"/>
        </w:rPr>
        <w:t>.</w:t>
      </w:r>
    </w:p>
    <w:p w14:paraId="33AEF225" w14:textId="74B76808" w:rsidR="00916689" w:rsidRPr="001E3CF4" w:rsidRDefault="00916689" w:rsidP="005F2C49">
      <w:pPr>
        <w:pStyle w:val="Corpotesto"/>
        <w:ind w:right="45" w:firstLine="567"/>
        <w:jc w:val="both"/>
        <w:rPr>
          <w:rFonts w:ascii="Arial" w:hAnsi="Arial" w:cs="Arial"/>
          <w:sz w:val="24"/>
          <w:szCs w:val="24"/>
        </w:rPr>
      </w:pPr>
      <w:r w:rsidRPr="001E3CF4">
        <w:rPr>
          <w:rFonts w:ascii="Arial" w:hAnsi="Arial" w:cs="Arial"/>
          <w:sz w:val="24"/>
          <w:szCs w:val="24"/>
        </w:rPr>
        <w:t>Questo calcolo è l’elemento cardine che lega il Reg. 841 e il Reg. 842 dal punto di vista delle compensazioni. Infatti, nel Reg. 842/2018 si stabilisce che se le</w:t>
      </w:r>
      <w:r w:rsidR="00142735">
        <w:rPr>
          <w:rFonts w:ascii="Arial" w:hAnsi="Arial" w:cs="Arial"/>
          <w:sz w:val="24"/>
          <w:szCs w:val="24"/>
        </w:rPr>
        <w:t xml:space="preserve"> emissioni</w:t>
      </w:r>
      <w:r w:rsidRPr="001E3CF4">
        <w:rPr>
          <w:rFonts w:ascii="Arial" w:hAnsi="Arial" w:cs="Arial"/>
          <w:sz w:val="24"/>
          <w:szCs w:val="24"/>
        </w:rPr>
        <w:t xml:space="preserve"> di uno SM superano la sua quota annuale è possibile tenere conto per l’anno in questione degli A</w:t>
      </w:r>
      <w:r w:rsidR="00142735">
        <w:rPr>
          <w:rFonts w:ascii="Arial" w:hAnsi="Arial" w:cs="Arial"/>
          <w:sz w:val="24"/>
          <w:szCs w:val="24"/>
        </w:rPr>
        <w:t>ssorbimenti</w:t>
      </w:r>
      <w:r w:rsidRPr="001E3CF4">
        <w:rPr>
          <w:rFonts w:ascii="Arial" w:hAnsi="Arial" w:cs="Arial"/>
          <w:sz w:val="24"/>
          <w:szCs w:val="24"/>
        </w:rPr>
        <w:t xml:space="preserve"> netti dei suoli LULUCF, tra cui i terreni forestali gestiti</w:t>
      </w:r>
      <w:r w:rsidR="0060162F">
        <w:rPr>
          <w:rStyle w:val="Rimandonotaapidipagina"/>
          <w:rFonts w:ascii="Arial" w:hAnsi="Arial" w:cs="Arial"/>
          <w:sz w:val="24"/>
          <w:szCs w:val="24"/>
        </w:rPr>
        <w:footnoteReference w:id="47"/>
      </w:r>
      <w:r w:rsidRPr="001E3CF4">
        <w:rPr>
          <w:rFonts w:ascii="Arial" w:hAnsi="Arial" w:cs="Arial"/>
          <w:sz w:val="24"/>
          <w:szCs w:val="24"/>
        </w:rPr>
        <w:t xml:space="preserve">. Questo sotto </w:t>
      </w:r>
      <w:r w:rsidR="00142735">
        <w:rPr>
          <w:rFonts w:ascii="Arial" w:hAnsi="Arial" w:cs="Arial"/>
          <w:sz w:val="24"/>
          <w:szCs w:val="24"/>
        </w:rPr>
        <w:t>l</w:t>
      </w:r>
      <w:r w:rsidR="00B87C48">
        <w:rPr>
          <w:rFonts w:ascii="Arial" w:hAnsi="Arial" w:cs="Arial"/>
          <w:sz w:val="24"/>
          <w:szCs w:val="24"/>
        </w:rPr>
        <w:t>e condizioni viste nel capitolo precedente</w:t>
      </w:r>
      <w:r w:rsidRPr="001E3CF4">
        <w:rPr>
          <w:rFonts w:ascii="Arial" w:hAnsi="Arial" w:cs="Arial"/>
          <w:sz w:val="24"/>
          <w:szCs w:val="24"/>
        </w:rPr>
        <w:t>.</w:t>
      </w:r>
      <w:r w:rsidR="00D452BD">
        <w:rPr>
          <w:rFonts w:ascii="Arial" w:hAnsi="Arial" w:cs="Arial"/>
          <w:sz w:val="24"/>
          <w:szCs w:val="24"/>
        </w:rPr>
        <w:t xml:space="preserve"> Si è anche visto nello stesso capitolo che per ogni SM è stabilito un limite a questo meccanismo di flessibilità</w:t>
      </w:r>
      <w:r w:rsidR="00305B55">
        <w:rPr>
          <w:rFonts w:ascii="Arial" w:hAnsi="Arial" w:cs="Arial"/>
          <w:sz w:val="24"/>
          <w:szCs w:val="24"/>
        </w:rPr>
        <w:t>, che per</w:t>
      </w:r>
      <w:r w:rsidR="000755EE">
        <w:rPr>
          <w:rFonts w:ascii="Arial" w:hAnsi="Arial" w:cs="Arial"/>
          <w:sz w:val="24"/>
          <w:szCs w:val="24"/>
        </w:rPr>
        <w:t xml:space="preserve"> l’Italia è pari a 11,5 tonnellate di CO</w:t>
      </w:r>
      <w:r w:rsidR="000755EE" w:rsidRPr="00423453">
        <w:rPr>
          <w:rFonts w:ascii="Arial" w:hAnsi="Arial" w:cs="Arial"/>
          <w:sz w:val="24"/>
          <w:szCs w:val="24"/>
          <w:vertAlign w:val="subscript"/>
        </w:rPr>
        <w:t>2</w:t>
      </w:r>
      <w:r w:rsidR="000755EE">
        <w:rPr>
          <w:rFonts w:ascii="Arial" w:hAnsi="Arial" w:cs="Arial"/>
          <w:sz w:val="24"/>
          <w:szCs w:val="24"/>
        </w:rPr>
        <w:t xml:space="preserve"> </w:t>
      </w:r>
      <w:proofErr w:type="spellStart"/>
      <w:r w:rsidR="000755EE">
        <w:rPr>
          <w:rFonts w:ascii="Arial" w:hAnsi="Arial" w:cs="Arial"/>
          <w:sz w:val="24"/>
          <w:szCs w:val="24"/>
        </w:rPr>
        <w:t>eq</w:t>
      </w:r>
      <w:proofErr w:type="spellEnd"/>
      <w:r w:rsidR="000755EE">
        <w:rPr>
          <w:rFonts w:ascii="Arial" w:hAnsi="Arial" w:cs="Arial"/>
          <w:sz w:val="24"/>
          <w:szCs w:val="24"/>
        </w:rPr>
        <w:t>.</w:t>
      </w:r>
      <w:r w:rsidR="00653861">
        <w:rPr>
          <w:rFonts w:ascii="Arial" w:hAnsi="Arial" w:cs="Arial"/>
          <w:sz w:val="24"/>
          <w:szCs w:val="24"/>
        </w:rPr>
        <w:t xml:space="preserve"> ed è utilizzabile per intero </w:t>
      </w:r>
      <w:r w:rsidR="002453AB">
        <w:rPr>
          <w:rFonts w:ascii="Arial" w:hAnsi="Arial" w:cs="Arial"/>
          <w:sz w:val="24"/>
          <w:szCs w:val="24"/>
        </w:rPr>
        <w:t xml:space="preserve">perché la gestione forestale sostenibile stimata da ISPRA è assai oltre questo valore. </w:t>
      </w:r>
      <w:r w:rsidR="000755EE">
        <w:rPr>
          <w:rFonts w:ascii="Arial" w:hAnsi="Arial" w:cs="Arial"/>
          <w:sz w:val="24"/>
          <w:szCs w:val="24"/>
        </w:rPr>
        <w:t xml:space="preserve"> </w:t>
      </w:r>
    </w:p>
    <w:p w14:paraId="727EE4D9" w14:textId="6AED96A0" w:rsidR="006B033B" w:rsidRDefault="00B45304" w:rsidP="005F2C49">
      <w:pPr>
        <w:pStyle w:val="Corpotesto"/>
        <w:ind w:right="45" w:firstLine="567"/>
        <w:jc w:val="both"/>
        <w:rPr>
          <w:rFonts w:ascii="Arial" w:hAnsi="Arial" w:cs="Arial"/>
          <w:sz w:val="24"/>
          <w:szCs w:val="24"/>
        </w:rPr>
      </w:pPr>
      <w:r>
        <w:rPr>
          <w:rFonts w:ascii="Arial" w:hAnsi="Arial" w:cs="Arial"/>
          <w:sz w:val="24"/>
          <w:szCs w:val="24"/>
        </w:rPr>
        <w:t>In generale, l</w:t>
      </w:r>
      <w:r w:rsidR="00FA5D4E">
        <w:rPr>
          <w:rFonts w:ascii="Arial" w:hAnsi="Arial" w:cs="Arial"/>
          <w:sz w:val="24"/>
          <w:szCs w:val="24"/>
        </w:rPr>
        <w:t xml:space="preserve">a possibilità di utilizzare il settore LULUCF per questo meccanismo di flessibilità non è comunque </w:t>
      </w:r>
      <w:r w:rsidR="003654CA">
        <w:rPr>
          <w:rFonts w:ascii="Arial" w:hAnsi="Arial" w:cs="Arial"/>
          <w:sz w:val="24"/>
          <w:szCs w:val="24"/>
        </w:rPr>
        <w:t xml:space="preserve">scontata, in quanto il primo criterio che deve essere </w:t>
      </w:r>
      <w:r w:rsidR="003654CA">
        <w:rPr>
          <w:rFonts w:ascii="Arial" w:hAnsi="Arial" w:cs="Arial"/>
          <w:sz w:val="24"/>
          <w:szCs w:val="24"/>
        </w:rPr>
        <w:lastRenderedPageBreak/>
        <w:t xml:space="preserve">soddisfatto per poterlo utilizzare è il rispetto della </w:t>
      </w:r>
      <w:r w:rsidR="004515DA">
        <w:rPr>
          <w:rFonts w:ascii="Arial" w:hAnsi="Arial" w:cs="Arial"/>
          <w:sz w:val="24"/>
          <w:szCs w:val="24"/>
        </w:rPr>
        <w:t xml:space="preserve">“no </w:t>
      </w:r>
      <w:proofErr w:type="spellStart"/>
      <w:r w:rsidR="004515DA">
        <w:rPr>
          <w:rFonts w:ascii="Arial" w:hAnsi="Arial" w:cs="Arial"/>
          <w:sz w:val="24"/>
          <w:szCs w:val="24"/>
        </w:rPr>
        <w:t>debit</w:t>
      </w:r>
      <w:proofErr w:type="spellEnd"/>
      <w:r w:rsidR="004515DA">
        <w:rPr>
          <w:rFonts w:ascii="Arial" w:hAnsi="Arial" w:cs="Arial"/>
          <w:sz w:val="24"/>
          <w:szCs w:val="24"/>
        </w:rPr>
        <w:t xml:space="preserve"> rule” stabilita nell’art. 4 del Regolamento 841/2013. </w:t>
      </w:r>
      <w:r w:rsidR="00B27B42">
        <w:rPr>
          <w:rFonts w:ascii="Arial" w:hAnsi="Arial" w:cs="Arial"/>
          <w:sz w:val="24"/>
          <w:szCs w:val="24"/>
        </w:rPr>
        <w:t xml:space="preserve">Poiché la compliance con questa regola </w:t>
      </w:r>
      <w:r w:rsidR="00402836">
        <w:rPr>
          <w:rFonts w:ascii="Arial" w:hAnsi="Arial" w:cs="Arial"/>
          <w:sz w:val="24"/>
          <w:szCs w:val="24"/>
        </w:rPr>
        <w:t>può essere difficile da raggiungere, soprattutto per alcuni SM</w:t>
      </w:r>
      <w:r w:rsidR="0001789B">
        <w:rPr>
          <w:rFonts w:ascii="Arial" w:hAnsi="Arial" w:cs="Arial"/>
          <w:sz w:val="24"/>
          <w:szCs w:val="24"/>
        </w:rPr>
        <w:t xml:space="preserve"> che hanno un territorio limitato e fortemente antropizzato</w:t>
      </w:r>
      <w:r w:rsidR="00402836">
        <w:rPr>
          <w:rFonts w:ascii="Arial" w:hAnsi="Arial" w:cs="Arial"/>
          <w:sz w:val="24"/>
          <w:szCs w:val="24"/>
        </w:rPr>
        <w:t xml:space="preserve">, </w:t>
      </w:r>
      <w:r w:rsidR="0014796C">
        <w:rPr>
          <w:rFonts w:ascii="Arial" w:hAnsi="Arial" w:cs="Arial"/>
          <w:sz w:val="24"/>
          <w:szCs w:val="24"/>
        </w:rPr>
        <w:t>sono stati introdotti anche in questo caso dei meccanismi di flessibilità che agevolano il l’ottenime</w:t>
      </w:r>
      <w:r w:rsidR="00101D00">
        <w:rPr>
          <w:rFonts w:ascii="Arial" w:hAnsi="Arial" w:cs="Arial"/>
          <w:sz w:val="24"/>
          <w:szCs w:val="24"/>
        </w:rPr>
        <w:t>n</w:t>
      </w:r>
      <w:r w:rsidR="0014796C">
        <w:rPr>
          <w:rFonts w:ascii="Arial" w:hAnsi="Arial" w:cs="Arial"/>
          <w:sz w:val="24"/>
          <w:szCs w:val="24"/>
        </w:rPr>
        <w:t xml:space="preserve">to della compliance </w:t>
      </w:r>
      <w:r w:rsidR="00101D00">
        <w:rPr>
          <w:rFonts w:ascii="Arial" w:hAnsi="Arial" w:cs="Arial"/>
          <w:sz w:val="24"/>
          <w:szCs w:val="24"/>
        </w:rPr>
        <w:t xml:space="preserve">con questa regola. </w:t>
      </w:r>
    </w:p>
    <w:p w14:paraId="40148628" w14:textId="6EE97817" w:rsidR="00F4653A" w:rsidRDefault="00F4653A" w:rsidP="005F2C49">
      <w:pPr>
        <w:pStyle w:val="Corpotesto"/>
        <w:ind w:right="45" w:firstLine="567"/>
        <w:jc w:val="both"/>
        <w:rPr>
          <w:rFonts w:ascii="Arial" w:hAnsi="Arial" w:cs="Arial"/>
          <w:sz w:val="24"/>
          <w:szCs w:val="24"/>
        </w:rPr>
      </w:pPr>
      <w:r>
        <w:rPr>
          <w:rFonts w:ascii="Arial" w:hAnsi="Arial" w:cs="Arial"/>
          <w:sz w:val="24"/>
          <w:szCs w:val="24"/>
        </w:rPr>
        <w:t xml:space="preserve">I meccanismi di flessibilità sono riportati nella tabella successiva e sono di </w:t>
      </w:r>
      <w:r w:rsidR="00EC103F">
        <w:rPr>
          <w:rFonts w:ascii="Arial" w:hAnsi="Arial" w:cs="Arial"/>
          <w:sz w:val="24"/>
          <w:szCs w:val="24"/>
        </w:rPr>
        <w:t>t</w:t>
      </w:r>
      <w:r w:rsidR="00B65B9E">
        <w:rPr>
          <w:rFonts w:ascii="Arial" w:hAnsi="Arial" w:cs="Arial"/>
          <w:sz w:val="24"/>
          <w:szCs w:val="24"/>
        </w:rPr>
        <w:t>r</w:t>
      </w:r>
      <w:r>
        <w:rPr>
          <w:rFonts w:ascii="Arial" w:hAnsi="Arial" w:cs="Arial"/>
          <w:sz w:val="24"/>
          <w:szCs w:val="24"/>
        </w:rPr>
        <w:t>e tipologie</w:t>
      </w:r>
      <w:r w:rsidR="00B65B9E">
        <w:rPr>
          <w:rFonts w:ascii="Arial" w:hAnsi="Arial" w:cs="Arial"/>
          <w:sz w:val="24"/>
          <w:szCs w:val="24"/>
        </w:rPr>
        <w:t>:</w:t>
      </w:r>
    </w:p>
    <w:p w14:paraId="01FFC78D" w14:textId="086A4172" w:rsidR="00B65B9E" w:rsidRDefault="00B65B9E" w:rsidP="00076117">
      <w:pPr>
        <w:pStyle w:val="Corpotesto"/>
        <w:numPr>
          <w:ilvl w:val="0"/>
          <w:numId w:val="16"/>
        </w:numPr>
        <w:ind w:right="45"/>
        <w:jc w:val="both"/>
        <w:rPr>
          <w:rFonts w:ascii="Arial" w:hAnsi="Arial" w:cs="Arial"/>
          <w:sz w:val="24"/>
          <w:szCs w:val="24"/>
        </w:rPr>
      </w:pPr>
      <w:r>
        <w:rPr>
          <w:rFonts w:ascii="Arial" w:hAnsi="Arial" w:cs="Arial"/>
          <w:sz w:val="24"/>
          <w:szCs w:val="24"/>
        </w:rPr>
        <w:t>trasferimento tra SM delle eventuali eccedenze di assorbimenti netti;</w:t>
      </w:r>
    </w:p>
    <w:p w14:paraId="6F5D703A" w14:textId="3256C2E4" w:rsidR="00B65B9E" w:rsidRDefault="00B65B9E" w:rsidP="00076117">
      <w:pPr>
        <w:pStyle w:val="Corpotesto"/>
        <w:numPr>
          <w:ilvl w:val="0"/>
          <w:numId w:val="16"/>
        </w:numPr>
        <w:ind w:right="45"/>
        <w:jc w:val="both"/>
        <w:rPr>
          <w:rFonts w:ascii="Arial" w:hAnsi="Arial" w:cs="Arial"/>
          <w:sz w:val="24"/>
          <w:szCs w:val="24"/>
        </w:rPr>
      </w:pPr>
      <w:r>
        <w:rPr>
          <w:rFonts w:ascii="Arial" w:hAnsi="Arial" w:cs="Arial"/>
          <w:sz w:val="24"/>
          <w:szCs w:val="24"/>
        </w:rPr>
        <w:t xml:space="preserve">trasferimento temporale </w:t>
      </w:r>
      <w:r w:rsidR="00997CDA">
        <w:rPr>
          <w:rFonts w:ascii="Arial" w:hAnsi="Arial" w:cs="Arial"/>
          <w:sz w:val="24"/>
          <w:szCs w:val="24"/>
        </w:rPr>
        <w:t>dal periodo 2021-25 al periodo 2026-30 delle eccedenze all’interno di uno stesso SM;</w:t>
      </w:r>
    </w:p>
    <w:p w14:paraId="457F61BF" w14:textId="1377E8FB" w:rsidR="00997CDA" w:rsidRPr="00EB1520" w:rsidRDefault="00BD1BCF" w:rsidP="00076117">
      <w:pPr>
        <w:pStyle w:val="Corpotesto"/>
        <w:numPr>
          <w:ilvl w:val="0"/>
          <w:numId w:val="16"/>
        </w:numPr>
        <w:ind w:right="45"/>
        <w:jc w:val="both"/>
        <w:rPr>
          <w:rFonts w:ascii="Arial" w:hAnsi="Arial" w:cs="Arial"/>
          <w:sz w:val="24"/>
          <w:szCs w:val="24"/>
        </w:rPr>
      </w:pPr>
      <w:r>
        <w:rPr>
          <w:rFonts w:ascii="Arial" w:hAnsi="Arial" w:cs="Arial"/>
          <w:sz w:val="24"/>
          <w:szCs w:val="24"/>
        </w:rPr>
        <w:t xml:space="preserve">una flessibilità specifica </w:t>
      </w:r>
      <w:r w:rsidR="00D00DC2">
        <w:rPr>
          <w:rFonts w:ascii="Arial" w:hAnsi="Arial" w:cs="Arial"/>
          <w:sz w:val="24"/>
          <w:szCs w:val="24"/>
        </w:rPr>
        <w:t xml:space="preserve">per i terreni forestali gestiti. </w:t>
      </w:r>
    </w:p>
    <w:p w14:paraId="43995E2E" w14:textId="141A315A" w:rsidR="00C06F3D" w:rsidRDefault="00C06F3D"/>
    <w:p w14:paraId="4BE4161F" w14:textId="08318798" w:rsidR="009923FB" w:rsidRDefault="009923FB"/>
    <w:p w14:paraId="6F2B8E02" w14:textId="77777777" w:rsidR="009923FB" w:rsidRDefault="009923FB"/>
    <w:p w14:paraId="10E6A5F4" w14:textId="2C5759AC" w:rsidR="00771AA3" w:rsidRPr="00F9000A" w:rsidRDefault="00771AA3" w:rsidP="00771AA3">
      <w:pPr>
        <w:pStyle w:val="Corpotesto"/>
        <w:ind w:right="45"/>
        <w:jc w:val="both"/>
        <w:rPr>
          <w:rFonts w:ascii="Arial" w:hAnsi="Arial" w:cs="Arial"/>
          <w:b/>
          <w:bCs/>
          <w:sz w:val="24"/>
          <w:szCs w:val="24"/>
        </w:rPr>
      </w:pPr>
      <w:r w:rsidRPr="00F9000A">
        <w:rPr>
          <w:rFonts w:ascii="Arial" w:hAnsi="Arial" w:cs="Arial"/>
          <w:b/>
          <w:bCs/>
          <w:sz w:val="24"/>
          <w:szCs w:val="24"/>
        </w:rPr>
        <w:t xml:space="preserve">Tabella </w:t>
      </w:r>
      <w:r w:rsidR="00D11BDC">
        <w:rPr>
          <w:rFonts w:ascii="Arial" w:hAnsi="Arial" w:cs="Arial"/>
          <w:b/>
          <w:bCs/>
          <w:sz w:val="24"/>
          <w:szCs w:val="24"/>
        </w:rPr>
        <w:t>6</w:t>
      </w:r>
      <w:r w:rsidRPr="00F9000A">
        <w:rPr>
          <w:rFonts w:ascii="Arial" w:hAnsi="Arial" w:cs="Arial"/>
          <w:b/>
          <w:bCs/>
          <w:sz w:val="24"/>
          <w:szCs w:val="24"/>
        </w:rPr>
        <w:t xml:space="preserve"> - </w:t>
      </w:r>
      <w:r>
        <w:rPr>
          <w:rFonts w:ascii="Arial" w:hAnsi="Arial" w:cs="Arial"/>
          <w:b/>
          <w:bCs/>
          <w:sz w:val="24"/>
          <w:szCs w:val="24"/>
        </w:rPr>
        <w:t>Strumenti di flessibilità inseriti</w:t>
      </w:r>
      <w:r w:rsidRPr="00F9000A">
        <w:rPr>
          <w:rFonts w:ascii="Arial" w:hAnsi="Arial" w:cs="Arial"/>
          <w:b/>
          <w:bCs/>
          <w:sz w:val="24"/>
          <w:szCs w:val="24"/>
        </w:rPr>
        <w:t xml:space="preserve"> nel Regolamento 84</w:t>
      </w:r>
      <w:r>
        <w:rPr>
          <w:rFonts w:ascii="Arial" w:hAnsi="Arial" w:cs="Arial"/>
          <w:b/>
          <w:bCs/>
          <w:sz w:val="24"/>
          <w:szCs w:val="24"/>
        </w:rPr>
        <w:t>1</w:t>
      </w:r>
      <w:r w:rsidRPr="00F9000A">
        <w:rPr>
          <w:rFonts w:ascii="Arial" w:hAnsi="Arial" w:cs="Arial"/>
          <w:b/>
          <w:bCs/>
          <w:sz w:val="24"/>
          <w:szCs w:val="24"/>
        </w:rPr>
        <w:t>/2018</w:t>
      </w:r>
    </w:p>
    <w:tbl>
      <w:tblPr>
        <w:tblStyle w:val="Grigliatabella"/>
        <w:tblW w:w="0" w:type="auto"/>
        <w:tblLook w:val="04A0" w:firstRow="1" w:lastRow="0" w:firstColumn="1" w:lastColumn="0" w:noHBand="0" w:noVBand="1"/>
      </w:tblPr>
      <w:tblGrid>
        <w:gridCol w:w="1168"/>
        <w:gridCol w:w="8604"/>
      </w:tblGrid>
      <w:tr w:rsidR="00AF0B9A" w:rsidRPr="00D851EA" w14:paraId="1B730AD7" w14:textId="77777777" w:rsidTr="003F1064">
        <w:tc>
          <w:tcPr>
            <w:tcW w:w="1168" w:type="dxa"/>
          </w:tcPr>
          <w:p w14:paraId="5DDE23B0" w14:textId="6C755A66" w:rsidR="00AF0B9A" w:rsidRPr="00575F69" w:rsidRDefault="00AF0B9A" w:rsidP="002D34BF">
            <w:pPr>
              <w:pStyle w:val="Corpotesto"/>
              <w:ind w:right="45"/>
              <w:jc w:val="both"/>
              <w:rPr>
                <w:rFonts w:ascii="Arial" w:hAnsi="Arial" w:cs="Arial"/>
                <w:sz w:val="20"/>
                <w:szCs w:val="20"/>
              </w:rPr>
            </w:pPr>
            <w:r>
              <w:rPr>
                <w:rFonts w:ascii="Arial" w:hAnsi="Arial" w:cs="Arial"/>
                <w:sz w:val="20"/>
                <w:szCs w:val="20"/>
              </w:rPr>
              <w:t>Art. 11 e 12</w:t>
            </w:r>
          </w:p>
        </w:tc>
        <w:tc>
          <w:tcPr>
            <w:tcW w:w="8604" w:type="dxa"/>
          </w:tcPr>
          <w:p w14:paraId="3FC282BA" w14:textId="77777777" w:rsidR="00AF0B9A" w:rsidRPr="00026757" w:rsidRDefault="00AF0B9A" w:rsidP="002D34BF">
            <w:pPr>
              <w:pStyle w:val="Corpotesto"/>
              <w:ind w:right="45"/>
              <w:jc w:val="both"/>
              <w:rPr>
                <w:rFonts w:ascii="Arial" w:hAnsi="Arial" w:cs="Arial"/>
                <w:sz w:val="20"/>
                <w:szCs w:val="20"/>
              </w:rPr>
            </w:pPr>
            <w:r w:rsidRPr="00026757">
              <w:rPr>
                <w:rFonts w:ascii="Arial" w:eastAsiaTheme="minorHAnsi" w:hAnsi="Arial" w:cs="Arial"/>
                <w:b/>
                <w:bCs/>
                <w:sz w:val="20"/>
                <w:szCs w:val="20"/>
              </w:rPr>
              <w:t>Strumenti di flessibilità generali</w:t>
            </w:r>
          </w:p>
          <w:p w14:paraId="241DFA14" w14:textId="77777777" w:rsidR="00AF0B9A" w:rsidRPr="00026757" w:rsidRDefault="00AF0B9A" w:rsidP="002D34BF">
            <w:pPr>
              <w:pStyle w:val="Corpotesto"/>
              <w:ind w:right="45"/>
              <w:jc w:val="both"/>
              <w:rPr>
                <w:rFonts w:ascii="Arial" w:hAnsi="Arial" w:cs="Arial"/>
                <w:sz w:val="20"/>
                <w:szCs w:val="20"/>
              </w:rPr>
            </w:pPr>
            <w:r w:rsidRPr="00026757">
              <w:rPr>
                <w:rFonts w:ascii="Arial" w:hAnsi="Arial" w:cs="Arial"/>
                <w:sz w:val="20"/>
                <w:szCs w:val="20"/>
              </w:rPr>
              <w:t>Introduce dei meccanismi flessibilità. Sono essenzialmente due:</w:t>
            </w:r>
          </w:p>
          <w:p w14:paraId="2D0FA94F" w14:textId="6E282C75" w:rsidR="00AF0B9A" w:rsidRPr="00026757" w:rsidRDefault="00AF0B9A" w:rsidP="002F29B0">
            <w:pPr>
              <w:pStyle w:val="Corpotesto"/>
              <w:ind w:right="45"/>
              <w:jc w:val="both"/>
              <w:rPr>
                <w:rFonts w:ascii="Arial" w:hAnsi="Arial" w:cs="Arial"/>
                <w:sz w:val="20"/>
                <w:szCs w:val="20"/>
              </w:rPr>
            </w:pPr>
            <w:r w:rsidRPr="00026757">
              <w:rPr>
                <w:rFonts w:ascii="Arial" w:hAnsi="Arial" w:cs="Arial"/>
                <w:sz w:val="20"/>
                <w:szCs w:val="20"/>
              </w:rPr>
              <w:t xml:space="preserve">Se uno SM ha E&lt;A, può utilizzare l’eccedenza per traferirla ad un altro SM; </w:t>
            </w:r>
            <w:r w:rsidR="002B17B1" w:rsidRPr="00026757">
              <w:rPr>
                <w:rFonts w:ascii="Arial" w:hAnsi="Arial" w:cs="Arial"/>
                <w:sz w:val="20"/>
                <w:szCs w:val="20"/>
              </w:rPr>
              <w:t>purché</w:t>
            </w:r>
            <w:r w:rsidRPr="00026757">
              <w:rPr>
                <w:rFonts w:ascii="Arial" w:hAnsi="Arial" w:cs="Arial"/>
                <w:sz w:val="20"/>
                <w:szCs w:val="20"/>
              </w:rPr>
              <w:t xml:space="preserve"> fossero verificati i meccanismi di monitoraggio, controllo e validazione del Regolamento 841;</w:t>
            </w:r>
          </w:p>
          <w:p w14:paraId="4FE4E6B2" w14:textId="465A811B" w:rsidR="00AF0B9A" w:rsidRPr="00D851EA" w:rsidRDefault="00AF0B9A" w:rsidP="002F29B0">
            <w:pPr>
              <w:pStyle w:val="Corpotesto"/>
              <w:ind w:right="45"/>
              <w:jc w:val="both"/>
              <w:rPr>
                <w:rFonts w:ascii="Arial" w:hAnsi="Arial" w:cs="Arial"/>
                <w:sz w:val="20"/>
                <w:szCs w:val="20"/>
              </w:rPr>
            </w:pPr>
            <w:r w:rsidRPr="00026757">
              <w:rPr>
                <w:rFonts w:ascii="Arial" w:hAnsi="Arial" w:cs="Arial"/>
                <w:sz w:val="20"/>
                <w:szCs w:val="20"/>
              </w:rPr>
              <w:t>Se uno SM ha E&lt;A e al netto delle deduzioni consentite nell’Art. 7 del Regolamento 842/2018 e dei trasferimenti di cui al punto precedente, lo S</w:t>
            </w:r>
            <w:r w:rsidR="00F4653A">
              <w:rPr>
                <w:rFonts w:ascii="Arial" w:hAnsi="Arial" w:cs="Arial"/>
                <w:sz w:val="20"/>
                <w:szCs w:val="20"/>
              </w:rPr>
              <w:t>M</w:t>
            </w:r>
            <w:r w:rsidRPr="00026757">
              <w:rPr>
                <w:rFonts w:ascii="Arial" w:hAnsi="Arial" w:cs="Arial"/>
                <w:sz w:val="20"/>
                <w:szCs w:val="20"/>
              </w:rPr>
              <w:t xml:space="preserve"> può riportare la restante quota di assorbimenti al periodo 2026-30.</w:t>
            </w:r>
          </w:p>
        </w:tc>
      </w:tr>
      <w:tr w:rsidR="00AF0B9A" w:rsidRPr="00D851EA" w14:paraId="3BCD9A86" w14:textId="77777777" w:rsidTr="00423457">
        <w:tc>
          <w:tcPr>
            <w:tcW w:w="1168" w:type="dxa"/>
          </w:tcPr>
          <w:p w14:paraId="463BBA32" w14:textId="1E151AB7" w:rsidR="00AF0B9A" w:rsidRPr="00575F69" w:rsidRDefault="00AF0B9A" w:rsidP="002D34BF">
            <w:pPr>
              <w:pStyle w:val="Corpotesto"/>
              <w:ind w:right="45"/>
              <w:jc w:val="both"/>
              <w:rPr>
                <w:rFonts w:ascii="Arial" w:hAnsi="Arial" w:cs="Arial"/>
                <w:sz w:val="20"/>
                <w:szCs w:val="20"/>
              </w:rPr>
            </w:pPr>
            <w:r>
              <w:rPr>
                <w:rFonts w:ascii="Arial" w:hAnsi="Arial" w:cs="Arial"/>
                <w:sz w:val="20"/>
                <w:szCs w:val="20"/>
              </w:rPr>
              <w:t>Art. 13</w:t>
            </w:r>
          </w:p>
        </w:tc>
        <w:tc>
          <w:tcPr>
            <w:tcW w:w="8604" w:type="dxa"/>
          </w:tcPr>
          <w:p w14:paraId="3EB1A527" w14:textId="77777777" w:rsidR="00AF0B9A" w:rsidRPr="00336734" w:rsidRDefault="00AF0B9A" w:rsidP="002D34BF">
            <w:pPr>
              <w:pStyle w:val="Corpotesto"/>
              <w:ind w:right="45"/>
              <w:jc w:val="both"/>
              <w:rPr>
                <w:rFonts w:ascii="Arial" w:hAnsi="Arial" w:cs="Arial"/>
                <w:b/>
                <w:bCs/>
                <w:sz w:val="20"/>
                <w:szCs w:val="20"/>
              </w:rPr>
            </w:pPr>
            <w:r w:rsidRPr="00336734">
              <w:rPr>
                <w:rFonts w:ascii="Arial" w:hAnsi="Arial" w:cs="Arial"/>
                <w:b/>
                <w:bCs/>
                <w:sz w:val="20"/>
                <w:szCs w:val="20"/>
              </w:rPr>
              <w:t xml:space="preserve">Flessibilità specifica per i terreni forestali gestiti. </w:t>
            </w:r>
          </w:p>
          <w:p w14:paraId="40198E67" w14:textId="77777777" w:rsidR="00AF0B9A" w:rsidRPr="002F29B0" w:rsidRDefault="00AF0B9A" w:rsidP="00A90136">
            <w:pPr>
              <w:pStyle w:val="Corpotesto"/>
              <w:ind w:right="45"/>
              <w:jc w:val="both"/>
              <w:rPr>
                <w:rFonts w:ascii="Arial" w:eastAsiaTheme="minorHAnsi" w:hAnsi="Arial" w:cs="Arial"/>
                <w:sz w:val="20"/>
                <w:szCs w:val="20"/>
              </w:rPr>
            </w:pPr>
            <w:r w:rsidRPr="00336734">
              <w:rPr>
                <w:rFonts w:ascii="Arial" w:hAnsi="Arial" w:cs="Arial"/>
                <w:sz w:val="20"/>
                <w:szCs w:val="20"/>
              </w:rPr>
              <w:t xml:space="preserve">Se uno SM ha E&gt;A nelle categorie contabili dell’articolo 2, può avvalersi della flessibilità per i terreni forestali gestiti al fine di conformarsi all’art. 4. Se il calcolo di cui all’art. 8 è positivo, lo SM </w:t>
            </w:r>
            <w:r w:rsidRPr="00336734">
              <w:rPr>
                <w:rFonts w:ascii="Arial" w:eastAsiaTheme="minorHAnsi" w:hAnsi="Arial" w:cs="Arial"/>
                <w:sz w:val="20"/>
                <w:szCs w:val="20"/>
              </w:rPr>
              <w:t xml:space="preserve">ha il diritto di compensare tali </w:t>
            </w:r>
            <w:r w:rsidRPr="002F29B0">
              <w:rPr>
                <w:rFonts w:ascii="Arial" w:eastAsiaTheme="minorHAnsi" w:hAnsi="Arial" w:cs="Arial"/>
                <w:sz w:val="20"/>
                <w:szCs w:val="20"/>
              </w:rPr>
              <w:t>emissioni a condizione che:</w:t>
            </w:r>
          </w:p>
          <w:p w14:paraId="2F78D8F7" w14:textId="77777777" w:rsidR="00AF0B9A" w:rsidRPr="00336734" w:rsidRDefault="00AF0B9A" w:rsidP="002F29B0">
            <w:pPr>
              <w:widowControl/>
              <w:adjustRightInd w:val="0"/>
              <w:jc w:val="both"/>
              <w:rPr>
                <w:rFonts w:ascii="Arial" w:eastAsiaTheme="minorHAnsi" w:hAnsi="Arial" w:cs="Arial"/>
                <w:sz w:val="20"/>
                <w:szCs w:val="20"/>
              </w:rPr>
            </w:pPr>
            <w:r w:rsidRPr="002F29B0">
              <w:rPr>
                <w:rFonts w:ascii="Arial" w:eastAsiaTheme="minorHAnsi" w:hAnsi="Arial" w:cs="Arial"/>
                <w:sz w:val="20"/>
                <w:szCs w:val="20"/>
              </w:rPr>
              <w:t>a) lo Stato membro, nella sua strategia presentata a norma dell’articolo 4 del regolamento (UE) n. 525/2013 abbia incluso misure specifiche attuali o previste per garantire la conservazione o l’incremento, ove opportuno, dei pozzi e dei serbatoi</w:t>
            </w:r>
            <w:r w:rsidRPr="00336734">
              <w:rPr>
                <w:rFonts w:ascii="Arial" w:eastAsiaTheme="minorHAnsi" w:hAnsi="Arial" w:cs="Arial"/>
                <w:sz w:val="20"/>
                <w:szCs w:val="20"/>
              </w:rPr>
              <w:t xml:space="preserve"> forestali; </w:t>
            </w:r>
          </w:p>
          <w:p w14:paraId="4A284383" w14:textId="77777777" w:rsidR="00AF0B9A" w:rsidRPr="00336734" w:rsidRDefault="00AF0B9A" w:rsidP="002F29B0">
            <w:pPr>
              <w:widowControl/>
              <w:adjustRightInd w:val="0"/>
              <w:jc w:val="both"/>
              <w:rPr>
                <w:rFonts w:ascii="Arial" w:eastAsiaTheme="minorHAnsi" w:hAnsi="Arial" w:cs="Arial"/>
                <w:sz w:val="20"/>
                <w:szCs w:val="20"/>
              </w:rPr>
            </w:pPr>
            <w:r w:rsidRPr="00336734">
              <w:rPr>
                <w:rFonts w:ascii="Arial" w:eastAsiaTheme="minorHAnsi" w:hAnsi="Arial" w:cs="Arial"/>
                <w:sz w:val="20"/>
                <w:szCs w:val="20"/>
              </w:rPr>
              <w:t xml:space="preserve">b) all’interno dell’Unione, le emissioni totali non superino gli assorbimenti totali nelle categorie contabili del suolo di cui all’articolo 2 del presente regolamento per il periodo in cui lo Stato membro intende utilizzare la compensazione. </w:t>
            </w:r>
          </w:p>
          <w:p w14:paraId="6924974F" w14:textId="104F7697" w:rsidR="00AF0B9A" w:rsidRPr="00E2327B" w:rsidRDefault="00AF0B9A" w:rsidP="002D34BF">
            <w:pPr>
              <w:pStyle w:val="Corpotesto"/>
              <w:ind w:right="45"/>
              <w:jc w:val="both"/>
              <w:rPr>
                <w:rFonts w:ascii="Arial" w:hAnsi="Arial" w:cs="Arial"/>
                <w:sz w:val="20"/>
                <w:szCs w:val="20"/>
              </w:rPr>
            </w:pPr>
            <w:r w:rsidRPr="00336734">
              <w:rPr>
                <w:rFonts w:ascii="Arial" w:eastAsiaTheme="minorHAnsi" w:hAnsi="Arial" w:cs="Arial"/>
                <w:sz w:val="20"/>
                <w:szCs w:val="20"/>
              </w:rPr>
              <w:t>Sono previsti meccanismi di prevenzione del doppio conteggio</w:t>
            </w:r>
          </w:p>
        </w:tc>
      </w:tr>
    </w:tbl>
    <w:p w14:paraId="46D0720F" w14:textId="77777777" w:rsidR="00D07D15" w:rsidRDefault="00D07D15"/>
    <w:p w14:paraId="54F6CA2C" w14:textId="454C093B" w:rsidR="005F2C49" w:rsidRDefault="00D72741" w:rsidP="005F2C49">
      <w:pPr>
        <w:pStyle w:val="Corpotesto"/>
        <w:ind w:right="45" w:firstLine="567"/>
        <w:jc w:val="both"/>
        <w:rPr>
          <w:rFonts w:ascii="Arial" w:hAnsi="Arial" w:cs="Arial"/>
          <w:sz w:val="24"/>
          <w:szCs w:val="24"/>
        </w:rPr>
      </w:pPr>
      <w:r>
        <w:rPr>
          <w:rFonts w:ascii="Arial" w:hAnsi="Arial" w:cs="Arial"/>
          <w:sz w:val="24"/>
          <w:szCs w:val="24"/>
        </w:rPr>
        <w:t>I</w:t>
      </w:r>
      <w:r w:rsidR="00F23B5D">
        <w:rPr>
          <w:rFonts w:ascii="Arial" w:hAnsi="Arial" w:cs="Arial"/>
          <w:sz w:val="24"/>
          <w:szCs w:val="24"/>
        </w:rPr>
        <w:t xml:space="preserve">l Regolamento ha </w:t>
      </w:r>
      <w:r w:rsidR="002F29B0">
        <w:rPr>
          <w:rFonts w:ascii="Arial" w:hAnsi="Arial" w:cs="Arial"/>
          <w:sz w:val="24"/>
          <w:szCs w:val="24"/>
        </w:rPr>
        <w:t xml:space="preserve">anche </w:t>
      </w:r>
      <w:r w:rsidR="00F23B5D">
        <w:rPr>
          <w:rFonts w:ascii="Arial" w:hAnsi="Arial" w:cs="Arial"/>
          <w:sz w:val="24"/>
          <w:szCs w:val="24"/>
        </w:rPr>
        <w:t xml:space="preserve">previsto dei limiti nell’uso di questi meccanismi flessibili, che sono stabiliti in base </w:t>
      </w:r>
      <w:r w:rsidR="00B9269D">
        <w:rPr>
          <w:rFonts w:ascii="Arial" w:hAnsi="Arial" w:cs="Arial"/>
          <w:sz w:val="24"/>
          <w:szCs w:val="24"/>
        </w:rPr>
        <w:t xml:space="preserve">al tasso di assorbimento medio dei pozzi di carbonio per il periodo </w:t>
      </w:r>
      <w:r w:rsidR="004E23A9">
        <w:rPr>
          <w:rFonts w:ascii="Arial" w:hAnsi="Arial" w:cs="Arial"/>
          <w:sz w:val="24"/>
          <w:szCs w:val="24"/>
        </w:rPr>
        <w:t xml:space="preserve">2000-2009. </w:t>
      </w:r>
      <w:r w:rsidR="005F2C49">
        <w:rPr>
          <w:rFonts w:ascii="Arial" w:hAnsi="Arial" w:cs="Arial"/>
          <w:sz w:val="24"/>
          <w:szCs w:val="24"/>
        </w:rPr>
        <w:t>P</w:t>
      </w:r>
      <w:r w:rsidR="005F2C49" w:rsidRPr="001E3CF4">
        <w:rPr>
          <w:rFonts w:ascii="Arial" w:hAnsi="Arial" w:cs="Arial"/>
          <w:sz w:val="24"/>
          <w:szCs w:val="24"/>
        </w:rPr>
        <w:t>er Italia</w:t>
      </w:r>
      <w:r w:rsidR="005F2C49">
        <w:rPr>
          <w:rFonts w:ascii="Arial" w:hAnsi="Arial" w:cs="Arial"/>
          <w:sz w:val="24"/>
          <w:szCs w:val="24"/>
        </w:rPr>
        <w:t>, i</w:t>
      </w:r>
      <w:r w:rsidR="005F2C49" w:rsidRPr="001E3CF4">
        <w:rPr>
          <w:rFonts w:ascii="Arial" w:hAnsi="Arial" w:cs="Arial"/>
          <w:sz w:val="24"/>
          <w:szCs w:val="24"/>
        </w:rPr>
        <w:t xml:space="preserve">n base ai dati di assorbimento medio da Pozzi 2000-09 definiti in Allegato VII (pari a -24,17 </w:t>
      </w:r>
      <w:proofErr w:type="spellStart"/>
      <w:r w:rsidR="005F2C49" w:rsidRPr="001E3CF4">
        <w:rPr>
          <w:rFonts w:ascii="Arial" w:hAnsi="Arial" w:cs="Arial"/>
          <w:sz w:val="24"/>
          <w:szCs w:val="24"/>
        </w:rPr>
        <w:t>mil</w:t>
      </w:r>
      <w:proofErr w:type="spellEnd"/>
      <w:r w:rsidR="005F2C49" w:rsidRPr="001E3CF4">
        <w:rPr>
          <w:rFonts w:ascii="Arial" w:hAnsi="Arial" w:cs="Arial"/>
          <w:sz w:val="24"/>
          <w:szCs w:val="24"/>
        </w:rPr>
        <w:t xml:space="preserve"> ton CO</w:t>
      </w:r>
      <w:r w:rsidR="005F2C49" w:rsidRPr="00423453">
        <w:rPr>
          <w:rFonts w:ascii="Arial" w:hAnsi="Arial" w:cs="Arial"/>
          <w:sz w:val="24"/>
          <w:szCs w:val="24"/>
          <w:vertAlign w:val="subscript"/>
        </w:rPr>
        <w:t>2</w:t>
      </w:r>
      <w:r w:rsidR="005F2C49" w:rsidRPr="001E3CF4">
        <w:rPr>
          <w:rFonts w:ascii="Arial" w:hAnsi="Arial" w:cs="Arial"/>
          <w:sz w:val="24"/>
          <w:szCs w:val="24"/>
        </w:rPr>
        <w:t xml:space="preserve"> </w:t>
      </w:r>
      <w:proofErr w:type="spellStart"/>
      <w:r w:rsidR="005F2C49" w:rsidRPr="001E3CF4">
        <w:rPr>
          <w:rFonts w:ascii="Arial" w:hAnsi="Arial" w:cs="Arial"/>
          <w:sz w:val="24"/>
          <w:szCs w:val="24"/>
        </w:rPr>
        <w:t>Eq</w:t>
      </w:r>
      <w:proofErr w:type="spellEnd"/>
      <w:r w:rsidR="005F2C49" w:rsidRPr="001E3CF4">
        <w:rPr>
          <w:rFonts w:ascii="Arial" w:hAnsi="Arial" w:cs="Arial"/>
          <w:sz w:val="24"/>
          <w:szCs w:val="24"/>
        </w:rPr>
        <w:t xml:space="preserve">.) è stato stabilito per un Limite di compensazione per il periodo 2021-2030 pari a - 14,5 </w:t>
      </w:r>
      <w:proofErr w:type="spellStart"/>
      <w:r w:rsidR="005F2C49" w:rsidRPr="001E3CF4">
        <w:rPr>
          <w:rFonts w:ascii="Arial" w:hAnsi="Arial" w:cs="Arial"/>
          <w:sz w:val="24"/>
          <w:szCs w:val="24"/>
        </w:rPr>
        <w:t>mil</w:t>
      </w:r>
      <w:proofErr w:type="spellEnd"/>
      <w:r w:rsidR="005F2C49" w:rsidRPr="001E3CF4">
        <w:rPr>
          <w:rFonts w:ascii="Arial" w:hAnsi="Arial" w:cs="Arial"/>
          <w:sz w:val="24"/>
          <w:szCs w:val="24"/>
        </w:rPr>
        <w:t xml:space="preserve"> ton CO</w:t>
      </w:r>
      <w:r w:rsidR="005F2C49" w:rsidRPr="00423453">
        <w:rPr>
          <w:rFonts w:ascii="Arial" w:hAnsi="Arial" w:cs="Arial"/>
          <w:sz w:val="24"/>
          <w:szCs w:val="24"/>
          <w:vertAlign w:val="subscript"/>
        </w:rPr>
        <w:t>2</w:t>
      </w:r>
      <w:r w:rsidR="005F2C49" w:rsidRPr="001E3CF4">
        <w:rPr>
          <w:rFonts w:ascii="Arial" w:hAnsi="Arial" w:cs="Arial"/>
          <w:sz w:val="24"/>
          <w:szCs w:val="24"/>
        </w:rPr>
        <w:t xml:space="preserve"> </w:t>
      </w:r>
      <w:proofErr w:type="spellStart"/>
      <w:r w:rsidR="005F2C49" w:rsidRPr="001E3CF4">
        <w:rPr>
          <w:rFonts w:ascii="Arial" w:hAnsi="Arial" w:cs="Arial"/>
          <w:sz w:val="24"/>
          <w:szCs w:val="24"/>
        </w:rPr>
        <w:t>Eq</w:t>
      </w:r>
      <w:proofErr w:type="spellEnd"/>
      <w:r w:rsidR="005F2C49" w:rsidRPr="001E3CF4">
        <w:rPr>
          <w:rFonts w:ascii="Arial" w:hAnsi="Arial" w:cs="Arial"/>
          <w:sz w:val="24"/>
          <w:szCs w:val="24"/>
        </w:rPr>
        <w:t>.</w:t>
      </w:r>
      <w:r w:rsidR="005D6D2E">
        <w:rPr>
          <w:rFonts w:ascii="Arial" w:hAnsi="Arial" w:cs="Arial"/>
          <w:sz w:val="24"/>
          <w:szCs w:val="24"/>
        </w:rPr>
        <w:t xml:space="preserve"> </w:t>
      </w:r>
    </w:p>
    <w:p w14:paraId="4534C447" w14:textId="163E6F34" w:rsidR="005F2C49" w:rsidRDefault="005D6D2E" w:rsidP="009C408A">
      <w:pPr>
        <w:pStyle w:val="Corpotesto"/>
        <w:ind w:right="45" w:firstLine="567"/>
        <w:jc w:val="both"/>
      </w:pPr>
      <w:r>
        <w:rPr>
          <w:rFonts w:ascii="Arial" w:hAnsi="Arial" w:cs="Arial"/>
          <w:sz w:val="24"/>
          <w:szCs w:val="24"/>
        </w:rPr>
        <w:t>Infine</w:t>
      </w:r>
      <w:r w:rsidR="00B95E0A">
        <w:rPr>
          <w:rFonts w:ascii="Arial" w:hAnsi="Arial" w:cs="Arial"/>
          <w:sz w:val="24"/>
          <w:szCs w:val="24"/>
        </w:rPr>
        <w:t>,</w:t>
      </w:r>
      <w:r>
        <w:rPr>
          <w:rFonts w:ascii="Arial" w:hAnsi="Arial" w:cs="Arial"/>
          <w:sz w:val="24"/>
          <w:szCs w:val="24"/>
        </w:rPr>
        <w:t xml:space="preserve"> </w:t>
      </w:r>
      <w:r w:rsidR="00553A6C">
        <w:rPr>
          <w:rFonts w:ascii="Arial" w:hAnsi="Arial" w:cs="Arial"/>
          <w:sz w:val="24"/>
          <w:szCs w:val="24"/>
        </w:rPr>
        <w:t xml:space="preserve">gli ultimi due articoli rilevanti del Regolamento sono quello inerente </w:t>
      </w:r>
      <w:r w:rsidR="002B17B1">
        <w:rPr>
          <w:rFonts w:ascii="Arial" w:hAnsi="Arial" w:cs="Arial"/>
          <w:sz w:val="24"/>
          <w:szCs w:val="24"/>
        </w:rPr>
        <w:t>alle</w:t>
      </w:r>
      <w:r w:rsidR="00553A6C">
        <w:rPr>
          <w:rFonts w:ascii="Arial" w:hAnsi="Arial" w:cs="Arial"/>
          <w:sz w:val="24"/>
          <w:szCs w:val="24"/>
        </w:rPr>
        <w:t xml:space="preserve"> procedure di conformità, che prevedono</w:t>
      </w:r>
      <w:r w:rsidR="00D27A96">
        <w:rPr>
          <w:rFonts w:ascii="Arial" w:hAnsi="Arial" w:cs="Arial"/>
          <w:sz w:val="24"/>
          <w:szCs w:val="24"/>
        </w:rPr>
        <w:t xml:space="preserve"> delle procedure molto precise per la predisposizione del NFAP con il FRL da parte dello SM</w:t>
      </w:r>
      <w:r w:rsidR="00862057">
        <w:rPr>
          <w:rFonts w:ascii="Arial" w:hAnsi="Arial" w:cs="Arial"/>
          <w:sz w:val="24"/>
          <w:szCs w:val="24"/>
        </w:rPr>
        <w:t xml:space="preserve"> e la sua approvazione da parte del Comitato LULUCIFEG</w:t>
      </w:r>
      <w:r w:rsidR="00AE268A">
        <w:rPr>
          <w:rFonts w:ascii="Arial" w:hAnsi="Arial" w:cs="Arial"/>
          <w:sz w:val="24"/>
          <w:szCs w:val="24"/>
        </w:rPr>
        <w:t xml:space="preserve"> e l’art. 15 che stabilisce l’istituzione di un registro per ogni categoria contabile di suolo a norma del Regolamento 525/2013. Questo articolo </w:t>
      </w:r>
      <w:r w:rsidR="007614ED">
        <w:rPr>
          <w:rFonts w:ascii="Arial" w:hAnsi="Arial" w:cs="Arial"/>
          <w:sz w:val="24"/>
          <w:szCs w:val="24"/>
        </w:rPr>
        <w:t xml:space="preserve">connette direttamente la contabilizzazione del settore LULUCF al Registro dei gas GHG. </w:t>
      </w:r>
      <w:r w:rsidR="00A51213">
        <w:rPr>
          <w:rFonts w:ascii="Arial" w:hAnsi="Arial" w:cs="Arial"/>
          <w:sz w:val="24"/>
          <w:szCs w:val="24"/>
        </w:rPr>
        <w:t xml:space="preserve">Come vedremo tra breve, il Regolamento 525/2013 è stato abrogato dal Regolamento 1999/2018, ma </w:t>
      </w:r>
      <w:r w:rsidR="009C408A">
        <w:rPr>
          <w:rFonts w:ascii="Arial" w:hAnsi="Arial" w:cs="Arial"/>
          <w:sz w:val="24"/>
          <w:szCs w:val="24"/>
        </w:rPr>
        <w:t xml:space="preserve">l’istituzione del registro permane. </w:t>
      </w:r>
    </w:p>
    <w:p w14:paraId="74329E7B" w14:textId="77777777" w:rsidR="005F2C49" w:rsidRDefault="005F2C49"/>
    <w:p w14:paraId="04C73536" w14:textId="65820179" w:rsidR="00D07D15" w:rsidRPr="00F9000A" w:rsidRDefault="00D07D15" w:rsidP="00D07D15">
      <w:pPr>
        <w:pStyle w:val="Corpotesto"/>
        <w:ind w:right="45"/>
        <w:jc w:val="both"/>
        <w:rPr>
          <w:rFonts w:ascii="Arial" w:hAnsi="Arial" w:cs="Arial"/>
          <w:b/>
          <w:bCs/>
          <w:sz w:val="24"/>
          <w:szCs w:val="24"/>
        </w:rPr>
      </w:pPr>
      <w:r w:rsidRPr="00F9000A">
        <w:rPr>
          <w:rFonts w:ascii="Arial" w:hAnsi="Arial" w:cs="Arial"/>
          <w:b/>
          <w:bCs/>
          <w:sz w:val="24"/>
          <w:szCs w:val="24"/>
        </w:rPr>
        <w:t xml:space="preserve">Tabella </w:t>
      </w:r>
      <w:r w:rsidR="00D11BDC">
        <w:rPr>
          <w:rFonts w:ascii="Arial" w:hAnsi="Arial" w:cs="Arial"/>
          <w:b/>
          <w:bCs/>
          <w:sz w:val="24"/>
          <w:szCs w:val="24"/>
        </w:rPr>
        <w:t>7</w:t>
      </w:r>
      <w:r w:rsidRPr="00F9000A">
        <w:rPr>
          <w:rFonts w:ascii="Arial" w:hAnsi="Arial" w:cs="Arial"/>
          <w:b/>
          <w:bCs/>
          <w:sz w:val="24"/>
          <w:szCs w:val="24"/>
        </w:rPr>
        <w:t xml:space="preserve"> - </w:t>
      </w:r>
      <w:r>
        <w:rPr>
          <w:rFonts w:ascii="Arial" w:hAnsi="Arial" w:cs="Arial"/>
          <w:b/>
          <w:bCs/>
          <w:sz w:val="24"/>
          <w:szCs w:val="24"/>
        </w:rPr>
        <w:t>Procedure di conformità e Registro</w:t>
      </w:r>
      <w:r w:rsidRPr="00F9000A">
        <w:rPr>
          <w:rFonts w:ascii="Arial" w:hAnsi="Arial" w:cs="Arial"/>
          <w:b/>
          <w:bCs/>
          <w:sz w:val="24"/>
          <w:szCs w:val="24"/>
        </w:rPr>
        <w:t xml:space="preserve"> nel Regolamento 84</w:t>
      </w:r>
      <w:r>
        <w:rPr>
          <w:rFonts w:ascii="Arial" w:hAnsi="Arial" w:cs="Arial"/>
          <w:b/>
          <w:bCs/>
          <w:sz w:val="24"/>
          <w:szCs w:val="24"/>
        </w:rPr>
        <w:t>1</w:t>
      </w:r>
      <w:r w:rsidRPr="00F9000A">
        <w:rPr>
          <w:rFonts w:ascii="Arial" w:hAnsi="Arial" w:cs="Arial"/>
          <w:b/>
          <w:bCs/>
          <w:sz w:val="24"/>
          <w:szCs w:val="24"/>
        </w:rPr>
        <w:t>/2018</w:t>
      </w:r>
    </w:p>
    <w:tbl>
      <w:tblPr>
        <w:tblStyle w:val="Grigliatabella"/>
        <w:tblW w:w="9889" w:type="dxa"/>
        <w:tblLook w:val="04A0" w:firstRow="1" w:lastRow="0" w:firstColumn="1" w:lastColumn="0" w:noHBand="0" w:noVBand="1"/>
      </w:tblPr>
      <w:tblGrid>
        <w:gridCol w:w="959"/>
        <w:gridCol w:w="4678"/>
        <w:gridCol w:w="4252"/>
      </w:tblGrid>
      <w:tr w:rsidR="0079616E" w:rsidRPr="00D851EA" w14:paraId="3759BBD8" w14:textId="77777777" w:rsidTr="00B95E0A">
        <w:tc>
          <w:tcPr>
            <w:tcW w:w="959" w:type="dxa"/>
          </w:tcPr>
          <w:p w14:paraId="62F0FA13" w14:textId="5ECD697B" w:rsidR="0079616E" w:rsidRPr="00575F69" w:rsidRDefault="0079616E" w:rsidP="002D34BF">
            <w:pPr>
              <w:pStyle w:val="Corpotesto"/>
              <w:ind w:right="45"/>
              <w:jc w:val="both"/>
              <w:rPr>
                <w:rFonts w:ascii="Arial" w:hAnsi="Arial" w:cs="Arial"/>
                <w:sz w:val="20"/>
                <w:szCs w:val="20"/>
              </w:rPr>
            </w:pPr>
            <w:r>
              <w:rPr>
                <w:rFonts w:ascii="Arial" w:hAnsi="Arial" w:cs="Arial"/>
                <w:sz w:val="20"/>
                <w:szCs w:val="20"/>
              </w:rPr>
              <w:t>Art. 14</w:t>
            </w:r>
          </w:p>
        </w:tc>
        <w:tc>
          <w:tcPr>
            <w:tcW w:w="4678" w:type="dxa"/>
          </w:tcPr>
          <w:p w14:paraId="1989584F" w14:textId="77777777" w:rsidR="0079616E" w:rsidRPr="008902C0" w:rsidRDefault="0079616E" w:rsidP="002D34BF">
            <w:pPr>
              <w:pStyle w:val="Corpotesto"/>
              <w:ind w:right="45"/>
              <w:jc w:val="both"/>
              <w:rPr>
                <w:rFonts w:ascii="Arial" w:hAnsi="Arial" w:cs="Arial"/>
                <w:b/>
                <w:bCs/>
                <w:sz w:val="20"/>
                <w:szCs w:val="20"/>
              </w:rPr>
            </w:pPr>
            <w:r>
              <w:rPr>
                <w:rFonts w:ascii="Arial" w:hAnsi="Arial" w:cs="Arial"/>
                <w:b/>
                <w:bCs/>
                <w:sz w:val="20"/>
                <w:szCs w:val="20"/>
              </w:rPr>
              <w:t>Controllo di conformità</w:t>
            </w:r>
          </w:p>
          <w:p w14:paraId="77377701" w14:textId="450D9EB9" w:rsidR="0079616E" w:rsidRPr="00AC3BC9" w:rsidRDefault="0079616E" w:rsidP="002D34BF">
            <w:pPr>
              <w:pStyle w:val="Corpotesto"/>
              <w:ind w:right="45"/>
              <w:jc w:val="both"/>
              <w:rPr>
                <w:rFonts w:ascii="Arial" w:hAnsi="Arial" w:cs="Arial"/>
                <w:sz w:val="20"/>
                <w:szCs w:val="20"/>
              </w:rPr>
            </w:pPr>
            <w:r>
              <w:rPr>
                <w:rFonts w:ascii="Arial" w:hAnsi="Arial" w:cs="Arial"/>
                <w:sz w:val="20"/>
                <w:szCs w:val="20"/>
              </w:rPr>
              <w:t>Definisce tutte le regole di compliance per gli SM</w:t>
            </w:r>
          </w:p>
        </w:tc>
        <w:tc>
          <w:tcPr>
            <w:tcW w:w="4252" w:type="dxa"/>
          </w:tcPr>
          <w:p w14:paraId="25DD56DA" w14:textId="25E9938D" w:rsidR="0079616E" w:rsidRPr="00E2327B" w:rsidRDefault="0079616E" w:rsidP="002D34BF">
            <w:pPr>
              <w:pStyle w:val="Corpotesto"/>
              <w:ind w:right="45"/>
              <w:jc w:val="both"/>
              <w:rPr>
                <w:rFonts w:ascii="Arial" w:hAnsi="Arial" w:cs="Arial"/>
                <w:sz w:val="20"/>
                <w:szCs w:val="20"/>
              </w:rPr>
            </w:pPr>
            <w:r>
              <w:rPr>
                <w:rFonts w:ascii="Arial" w:hAnsi="Arial" w:cs="Arial"/>
                <w:sz w:val="20"/>
                <w:szCs w:val="20"/>
              </w:rPr>
              <w:t xml:space="preserve">Descrive in particolare le regole per la presentazione dei NFAP e la loro approvazione. </w:t>
            </w:r>
          </w:p>
        </w:tc>
      </w:tr>
      <w:tr w:rsidR="0079616E" w:rsidRPr="00D851EA" w14:paraId="07CFEDC9" w14:textId="77777777" w:rsidTr="00B95E0A">
        <w:tc>
          <w:tcPr>
            <w:tcW w:w="959" w:type="dxa"/>
          </w:tcPr>
          <w:p w14:paraId="0F2C497E" w14:textId="4EE1DDA2" w:rsidR="0079616E" w:rsidRDefault="0079616E" w:rsidP="002D34BF">
            <w:pPr>
              <w:pStyle w:val="Corpotesto"/>
              <w:ind w:right="45"/>
              <w:jc w:val="both"/>
              <w:rPr>
                <w:rFonts w:ascii="Arial" w:hAnsi="Arial" w:cs="Arial"/>
                <w:sz w:val="20"/>
                <w:szCs w:val="20"/>
              </w:rPr>
            </w:pPr>
            <w:r>
              <w:rPr>
                <w:rFonts w:ascii="Arial" w:hAnsi="Arial" w:cs="Arial"/>
                <w:sz w:val="20"/>
                <w:szCs w:val="20"/>
              </w:rPr>
              <w:t>Art. 15</w:t>
            </w:r>
          </w:p>
        </w:tc>
        <w:tc>
          <w:tcPr>
            <w:tcW w:w="4678" w:type="dxa"/>
          </w:tcPr>
          <w:p w14:paraId="4A0070BC" w14:textId="77777777" w:rsidR="0079616E" w:rsidRPr="008902C0" w:rsidRDefault="0079616E" w:rsidP="002D34BF">
            <w:pPr>
              <w:pStyle w:val="Corpotesto"/>
              <w:ind w:right="45"/>
              <w:jc w:val="both"/>
              <w:rPr>
                <w:rFonts w:ascii="Arial" w:hAnsi="Arial" w:cs="Arial"/>
                <w:b/>
                <w:bCs/>
                <w:sz w:val="20"/>
                <w:szCs w:val="20"/>
              </w:rPr>
            </w:pPr>
            <w:r w:rsidRPr="008902C0">
              <w:rPr>
                <w:rFonts w:ascii="Arial" w:hAnsi="Arial" w:cs="Arial"/>
                <w:b/>
                <w:bCs/>
                <w:sz w:val="20"/>
                <w:szCs w:val="20"/>
              </w:rPr>
              <w:t>Registro</w:t>
            </w:r>
          </w:p>
          <w:p w14:paraId="310C19CD" w14:textId="0DF1B0D2" w:rsidR="0079616E" w:rsidRPr="008902C0" w:rsidRDefault="0079616E" w:rsidP="002D34BF">
            <w:pPr>
              <w:pStyle w:val="Corpotesto"/>
              <w:ind w:right="45"/>
              <w:jc w:val="both"/>
              <w:rPr>
                <w:rFonts w:ascii="Arial" w:hAnsi="Arial" w:cs="Arial"/>
                <w:b/>
                <w:bCs/>
                <w:sz w:val="20"/>
                <w:szCs w:val="20"/>
              </w:rPr>
            </w:pPr>
            <w:r>
              <w:rPr>
                <w:rFonts w:ascii="Arial" w:hAnsi="Arial" w:cs="Arial"/>
                <w:sz w:val="20"/>
                <w:szCs w:val="20"/>
              </w:rPr>
              <w:t xml:space="preserve">Questo articolo stabilisce che la quantità di E </w:t>
            </w:r>
            <w:proofErr w:type="spellStart"/>
            <w:r>
              <w:rPr>
                <w:rFonts w:ascii="Arial" w:hAnsi="Arial" w:cs="Arial"/>
                <w:sz w:val="20"/>
                <w:szCs w:val="20"/>
              </w:rPr>
              <w:t>e</w:t>
            </w:r>
            <w:proofErr w:type="spellEnd"/>
            <w:r>
              <w:rPr>
                <w:rFonts w:ascii="Arial" w:hAnsi="Arial" w:cs="Arial"/>
                <w:sz w:val="20"/>
                <w:szCs w:val="20"/>
              </w:rPr>
              <w:t xml:space="preserve"> di </w:t>
            </w:r>
            <w:r>
              <w:rPr>
                <w:rFonts w:ascii="Arial" w:hAnsi="Arial" w:cs="Arial"/>
                <w:sz w:val="20"/>
                <w:szCs w:val="20"/>
              </w:rPr>
              <w:lastRenderedPageBreak/>
              <w:t>A per ogni categoria contabile di suolo di ciascun SM siano iscritte nel Registro dell’Unione, a norma dell’art 10 del Reg. 525/2013. Le transazioni tra SM a norma del presente Regolamento sono controllate dall’Amministratore Centrale del Registro.</w:t>
            </w:r>
          </w:p>
        </w:tc>
        <w:tc>
          <w:tcPr>
            <w:tcW w:w="4252" w:type="dxa"/>
          </w:tcPr>
          <w:p w14:paraId="38469BB3" w14:textId="743CEA8A" w:rsidR="0079616E" w:rsidRPr="00E2327B" w:rsidRDefault="0079616E" w:rsidP="002D34BF">
            <w:pPr>
              <w:pStyle w:val="Corpotesto"/>
              <w:ind w:right="45"/>
              <w:jc w:val="both"/>
              <w:rPr>
                <w:rFonts w:ascii="Arial" w:hAnsi="Arial" w:cs="Arial"/>
                <w:sz w:val="20"/>
                <w:szCs w:val="20"/>
              </w:rPr>
            </w:pPr>
            <w:r w:rsidRPr="00E2327B">
              <w:rPr>
                <w:rFonts w:ascii="Arial" w:hAnsi="Arial" w:cs="Arial"/>
                <w:sz w:val="20"/>
                <w:szCs w:val="20"/>
              </w:rPr>
              <w:lastRenderedPageBreak/>
              <w:t xml:space="preserve">Il Registro è quello che fa riferimento alle assegnazioni annuali di EUA negli SM. </w:t>
            </w:r>
            <w:r w:rsidR="002B17B1" w:rsidRPr="00E2327B">
              <w:rPr>
                <w:rFonts w:ascii="Arial" w:hAnsi="Arial" w:cs="Arial"/>
                <w:sz w:val="20"/>
                <w:szCs w:val="20"/>
              </w:rPr>
              <w:t>È</w:t>
            </w:r>
            <w:r w:rsidRPr="00E2327B">
              <w:rPr>
                <w:rFonts w:ascii="Arial" w:hAnsi="Arial" w:cs="Arial"/>
                <w:sz w:val="20"/>
                <w:szCs w:val="20"/>
              </w:rPr>
              <w:t xml:space="preserve"> </w:t>
            </w:r>
            <w:r w:rsidRPr="00E2327B">
              <w:rPr>
                <w:rFonts w:ascii="Arial" w:hAnsi="Arial" w:cs="Arial"/>
                <w:sz w:val="20"/>
                <w:szCs w:val="20"/>
              </w:rPr>
              <w:lastRenderedPageBreak/>
              <w:t xml:space="preserve">stato istituito con </w:t>
            </w:r>
            <w:r w:rsidRPr="00E2327B">
              <w:rPr>
                <w:rFonts w:ascii="Arial" w:eastAsia="Times New Roman" w:hAnsi="Arial" w:cs="Arial"/>
                <w:color w:val="333333"/>
                <w:sz w:val="20"/>
                <w:szCs w:val="20"/>
                <w:lang w:eastAsia="it-IT"/>
              </w:rPr>
              <w:t xml:space="preserve">la Direttiva 2003/87/CE. Le regole di contabilizzazione e di gestione si sono modificante negli anni. In particolare, il Reg. 525/2013 è stato abrogato e sostituito dal Regolamento 1999/2018, che ha collocato i meccanismi di contabilità e il registro in un quadro più ampio. </w:t>
            </w:r>
          </w:p>
        </w:tc>
      </w:tr>
    </w:tbl>
    <w:p w14:paraId="58270BD2" w14:textId="77777777" w:rsidR="00CD5A3A" w:rsidRDefault="00CD5A3A" w:rsidP="00CD5A3A">
      <w:pPr>
        <w:pStyle w:val="Corpotesto"/>
        <w:ind w:right="45"/>
        <w:jc w:val="both"/>
        <w:rPr>
          <w:rFonts w:ascii="Arial" w:hAnsi="Arial" w:cs="Arial"/>
          <w:sz w:val="24"/>
          <w:szCs w:val="24"/>
        </w:rPr>
      </w:pPr>
    </w:p>
    <w:p w14:paraId="224B9BD1" w14:textId="41104F3A" w:rsidR="00923EB1" w:rsidRDefault="00923EB1" w:rsidP="006904A3">
      <w:pPr>
        <w:pStyle w:val="Corpotesto"/>
        <w:ind w:right="45" w:firstLine="567"/>
        <w:jc w:val="both"/>
        <w:rPr>
          <w:rFonts w:ascii="Arial" w:hAnsi="Arial" w:cs="Arial"/>
          <w:sz w:val="24"/>
          <w:szCs w:val="24"/>
        </w:rPr>
      </w:pPr>
      <w:r>
        <w:rPr>
          <w:rFonts w:ascii="Arial" w:hAnsi="Arial" w:cs="Arial"/>
          <w:sz w:val="24"/>
          <w:szCs w:val="24"/>
        </w:rPr>
        <w:t xml:space="preserve">Quindi, </w:t>
      </w:r>
      <w:r w:rsidR="00095832">
        <w:rPr>
          <w:rFonts w:ascii="Arial" w:hAnsi="Arial" w:cs="Arial"/>
          <w:sz w:val="24"/>
          <w:szCs w:val="24"/>
        </w:rPr>
        <w:t>in sintesi il Regolamento 2018/841 stabilisce:</w:t>
      </w:r>
    </w:p>
    <w:p w14:paraId="192D0E39" w14:textId="708752AE" w:rsidR="00095832" w:rsidRDefault="00095832" w:rsidP="006904A3">
      <w:pPr>
        <w:pStyle w:val="Corpotesto"/>
        <w:ind w:right="45" w:firstLine="567"/>
        <w:jc w:val="both"/>
        <w:rPr>
          <w:rFonts w:ascii="Arial" w:hAnsi="Arial" w:cs="Arial"/>
          <w:sz w:val="24"/>
          <w:szCs w:val="24"/>
        </w:rPr>
      </w:pPr>
    </w:p>
    <w:p w14:paraId="5A5083B6" w14:textId="5FFEA95D" w:rsidR="00707271" w:rsidRDefault="00095832" w:rsidP="00742D54">
      <w:pPr>
        <w:pStyle w:val="Corpotesto"/>
        <w:numPr>
          <w:ilvl w:val="0"/>
          <w:numId w:val="46"/>
        </w:numPr>
        <w:ind w:right="45"/>
        <w:jc w:val="both"/>
        <w:rPr>
          <w:rFonts w:ascii="Arial" w:hAnsi="Arial" w:cs="Arial"/>
          <w:sz w:val="24"/>
          <w:szCs w:val="24"/>
        </w:rPr>
      </w:pPr>
      <w:r>
        <w:rPr>
          <w:rFonts w:ascii="Arial" w:hAnsi="Arial" w:cs="Arial"/>
          <w:sz w:val="24"/>
          <w:szCs w:val="24"/>
        </w:rPr>
        <w:t>che il settore LULUCF fa parte della strategi</w:t>
      </w:r>
      <w:r w:rsidR="002B17B1">
        <w:rPr>
          <w:rFonts w:ascii="Arial" w:hAnsi="Arial" w:cs="Arial"/>
          <w:sz w:val="24"/>
          <w:szCs w:val="24"/>
        </w:rPr>
        <w:t>a</w:t>
      </w:r>
      <w:r>
        <w:rPr>
          <w:rFonts w:ascii="Arial" w:hAnsi="Arial" w:cs="Arial"/>
          <w:sz w:val="24"/>
          <w:szCs w:val="24"/>
        </w:rPr>
        <w:t xml:space="preserve"> europea sul clima e</w:t>
      </w:r>
      <w:r w:rsidR="00DF53FC">
        <w:rPr>
          <w:rFonts w:ascii="Arial" w:hAnsi="Arial" w:cs="Arial"/>
          <w:sz w:val="24"/>
          <w:szCs w:val="24"/>
        </w:rPr>
        <w:t>d è un pilastro dell’accoglimento degli accordi di Parigi</w:t>
      </w:r>
      <w:r w:rsidR="00707271">
        <w:rPr>
          <w:rFonts w:ascii="Arial" w:hAnsi="Arial" w:cs="Arial"/>
          <w:sz w:val="24"/>
          <w:szCs w:val="24"/>
        </w:rPr>
        <w:t>;</w:t>
      </w:r>
    </w:p>
    <w:p w14:paraId="0002764F" w14:textId="77777777" w:rsidR="000164D4" w:rsidRDefault="00707271" w:rsidP="00742D54">
      <w:pPr>
        <w:pStyle w:val="Corpotesto"/>
        <w:numPr>
          <w:ilvl w:val="0"/>
          <w:numId w:val="46"/>
        </w:numPr>
        <w:ind w:right="45"/>
        <w:jc w:val="both"/>
        <w:rPr>
          <w:rFonts w:ascii="Arial" w:hAnsi="Arial" w:cs="Arial"/>
          <w:sz w:val="24"/>
          <w:szCs w:val="24"/>
        </w:rPr>
      </w:pPr>
      <w:r>
        <w:rPr>
          <w:rFonts w:ascii="Arial" w:hAnsi="Arial" w:cs="Arial"/>
          <w:sz w:val="24"/>
          <w:szCs w:val="24"/>
        </w:rPr>
        <w:t xml:space="preserve">delle norme di contabilizzazione del gli assorbimenti netti </w:t>
      </w:r>
      <w:r w:rsidR="000164D4">
        <w:rPr>
          <w:rFonts w:ascii="Arial" w:hAnsi="Arial" w:cs="Arial"/>
          <w:sz w:val="24"/>
          <w:szCs w:val="24"/>
        </w:rPr>
        <w:t>generati dal settore LULUCF;</w:t>
      </w:r>
    </w:p>
    <w:p w14:paraId="3AE9A5CB" w14:textId="5FEC0C91" w:rsidR="001C13E5" w:rsidRDefault="00B32420" w:rsidP="00742D54">
      <w:pPr>
        <w:pStyle w:val="Corpotesto"/>
        <w:numPr>
          <w:ilvl w:val="0"/>
          <w:numId w:val="46"/>
        </w:numPr>
        <w:ind w:right="45"/>
        <w:jc w:val="both"/>
        <w:rPr>
          <w:rFonts w:ascii="Arial" w:hAnsi="Arial" w:cs="Arial"/>
          <w:sz w:val="24"/>
          <w:szCs w:val="24"/>
        </w:rPr>
      </w:pPr>
      <w:r>
        <w:rPr>
          <w:rFonts w:ascii="Arial" w:hAnsi="Arial" w:cs="Arial"/>
          <w:sz w:val="24"/>
          <w:szCs w:val="24"/>
        </w:rPr>
        <w:t>i</w:t>
      </w:r>
      <w:r w:rsidR="000164D4">
        <w:rPr>
          <w:rFonts w:ascii="Arial" w:hAnsi="Arial" w:cs="Arial"/>
          <w:sz w:val="24"/>
          <w:szCs w:val="24"/>
        </w:rPr>
        <w:t>nserisce questi elementi nel Registro sui gas GHG</w:t>
      </w:r>
      <w:r w:rsidR="008D60E0">
        <w:rPr>
          <w:rFonts w:ascii="Arial" w:hAnsi="Arial" w:cs="Arial"/>
          <w:sz w:val="24"/>
          <w:szCs w:val="24"/>
        </w:rPr>
        <w:t xml:space="preserve"> che ogn</w:t>
      </w:r>
      <w:r w:rsidR="00BD2115">
        <w:rPr>
          <w:rFonts w:ascii="Arial" w:hAnsi="Arial" w:cs="Arial"/>
          <w:sz w:val="24"/>
          <w:szCs w:val="24"/>
        </w:rPr>
        <w:t xml:space="preserve">i SM ha per il raggiungimento degli obbiettivi </w:t>
      </w:r>
      <w:r w:rsidR="001C13E5">
        <w:rPr>
          <w:rFonts w:ascii="Arial" w:hAnsi="Arial" w:cs="Arial"/>
          <w:sz w:val="24"/>
          <w:szCs w:val="24"/>
        </w:rPr>
        <w:t>del 2030 stabiliti nel Regolamento 2018/842;</w:t>
      </w:r>
    </w:p>
    <w:p w14:paraId="127BE356" w14:textId="07413139" w:rsidR="00095832" w:rsidRDefault="001C13E5" w:rsidP="00742D54">
      <w:pPr>
        <w:pStyle w:val="Corpotesto"/>
        <w:numPr>
          <w:ilvl w:val="0"/>
          <w:numId w:val="46"/>
        </w:numPr>
        <w:ind w:right="45"/>
        <w:jc w:val="both"/>
        <w:rPr>
          <w:rFonts w:ascii="Arial" w:hAnsi="Arial" w:cs="Arial"/>
          <w:sz w:val="24"/>
          <w:szCs w:val="24"/>
        </w:rPr>
      </w:pPr>
      <w:r>
        <w:rPr>
          <w:rFonts w:ascii="Arial" w:hAnsi="Arial" w:cs="Arial"/>
          <w:sz w:val="24"/>
          <w:szCs w:val="24"/>
        </w:rPr>
        <w:t>stabil</w:t>
      </w:r>
      <w:r w:rsidR="00B32420">
        <w:rPr>
          <w:rFonts w:ascii="Arial" w:hAnsi="Arial" w:cs="Arial"/>
          <w:sz w:val="24"/>
          <w:szCs w:val="24"/>
        </w:rPr>
        <w:t>isce i criteri in base ai quali gli assorbimenti netti</w:t>
      </w:r>
      <w:r w:rsidR="005B131C">
        <w:rPr>
          <w:rFonts w:ascii="Arial" w:hAnsi="Arial" w:cs="Arial"/>
          <w:sz w:val="24"/>
          <w:szCs w:val="24"/>
        </w:rPr>
        <w:t xml:space="preserve"> possono essere utilizzati come meccanismo di flessibilità nell’ESR</w:t>
      </w:r>
      <w:r w:rsidR="00DC4EE0">
        <w:rPr>
          <w:rFonts w:ascii="Arial" w:hAnsi="Arial" w:cs="Arial"/>
          <w:sz w:val="24"/>
          <w:szCs w:val="24"/>
        </w:rPr>
        <w:t>, entro la soglia definita, che per l’Italia è di -11,5 Mton C</w:t>
      </w:r>
      <w:r w:rsidR="002B17B1">
        <w:rPr>
          <w:rFonts w:ascii="Arial" w:hAnsi="Arial" w:cs="Arial"/>
          <w:sz w:val="24"/>
          <w:szCs w:val="24"/>
        </w:rPr>
        <w:t>O</w:t>
      </w:r>
      <w:r w:rsidR="00DC4EE0" w:rsidRPr="00423453">
        <w:rPr>
          <w:rFonts w:ascii="Arial" w:hAnsi="Arial" w:cs="Arial"/>
          <w:sz w:val="24"/>
          <w:szCs w:val="24"/>
          <w:vertAlign w:val="subscript"/>
        </w:rPr>
        <w:t>2</w:t>
      </w:r>
      <w:r w:rsidR="00DC4EE0">
        <w:rPr>
          <w:rFonts w:ascii="Arial" w:hAnsi="Arial" w:cs="Arial"/>
          <w:sz w:val="24"/>
          <w:szCs w:val="24"/>
        </w:rPr>
        <w:t xml:space="preserve"> </w:t>
      </w:r>
      <w:proofErr w:type="spellStart"/>
      <w:r w:rsidR="00DC4EE0">
        <w:rPr>
          <w:rFonts w:ascii="Arial" w:hAnsi="Arial" w:cs="Arial"/>
          <w:sz w:val="24"/>
          <w:szCs w:val="24"/>
        </w:rPr>
        <w:t>eq</w:t>
      </w:r>
      <w:proofErr w:type="spellEnd"/>
      <w:r w:rsidR="00DC4EE0">
        <w:rPr>
          <w:rFonts w:ascii="Arial" w:hAnsi="Arial" w:cs="Arial"/>
          <w:sz w:val="24"/>
          <w:szCs w:val="24"/>
        </w:rPr>
        <w:t xml:space="preserve">. </w:t>
      </w:r>
      <w:r w:rsidR="00DF53FC">
        <w:rPr>
          <w:rFonts w:ascii="Arial" w:hAnsi="Arial" w:cs="Arial"/>
          <w:sz w:val="24"/>
          <w:szCs w:val="24"/>
        </w:rPr>
        <w:t xml:space="preserve"> </w:t>
      </w:r>
    </w:p>
    <w:p w14:paraId="32C4E913" w14:textId="77777777" w:rsidR="00DF53FC" w:rsidRDefault="00DF53FC" w:rsidP="006904A3">
      <w:pPr>
        <w:pStyle w:val="Corpotesto"/>
        <w:ind w:right="45" w:firstLine="567"/>
        <w:jc w:val="both"/>
        <w:rPr>
          <w:rFonts w:ascii="Arial" w:hAnsi="Arial" w:cs="Arial"/>
          <w:sz w:val="24"/>
          <w:szCs w:val="24"/>
        </w:rPr>
      </w:pPr>
    </w:p>
    <w:p w14:paraId="6CFD4E81" w14:textId="4C382E0E" w:rsidR="00CD5A3A" w:rsidRDefault="009A2C60" w:rsidP="006904A3">
      <w:pPr>
        <w:pStyle w:val="Corpotesto"/>
        <w:ind w:right="45" w:firstLine="567"/>
        <w:jc w:val="both"/>
        <w:rPr>
          <w:rFonts w:ascii="Arial" w:hAnsi="Arial" w:cs="Arial"/>
          <w:sz w:val="24"/>
          <w:szCs w:val="24"/>
        </w:rPr>
      </w:pPr>
      <w:r>
        <w:rPr>
          <w:rFonts w:ascii="Arial" w:hAnsi="Arial" w:cs="Arial"/>
          <w:sz w:val="24"/>
          <w:szCs w:val="24"/>
        </w:rPr>
        <w:t>Per conc</w:t>
      </w:r>
      <w:r w:rsidR="0051475E">
        <w:rPr>
          <w:rFonts w:ascii="Arial" w:hAnsi="Arial" w:cs="Arial"/>
          <w:sz w:val="24"/>
          <w:szCs w:val="24"/>
        </w:rPr>
        <w:t>l</w:t>
      </w:r>
      <w:r>
        <w:rPr>
          <w:rFonts w:ascii="Arial" w:hAnsi="Arial" w:cs="Arial"/>
          <w:sz w:val="24"/>
          <w:szCs w:val="24"/>
        </w:rPr>
        <w:t xml:space="preserve">udere l’analisi di questo Regolamento è </w:t>
      </w:r>
      <w:r w:rsidR="0051475E">
        <w:rPr>
          <w:rFonts w:ascii="Arial" w:hAnsi="Arial" w:cs="Arial"/>
          <w:sz w:val="24"/>
          <w:szCs w:val="24"/>
        </w:rPr>
        <w:t>importante valutare in sintesi le modalità di calcolo del FRL, in quanto sono molto rilevanti per lo sviluppo de</w:t>
      </w:r>
      <w:r w:rsidR="006904A3">
        <w:rPr>
          <w:rFonts w:ascii="Arial" w:hAnsi="Arial" w:cs="Arial"/>
          <w:sz w:val="24"/>
          <w:szCs w:val="24"/>
        </w:rPr>
        <w:t>l</w:t>
      </w:r>
      <w:r w:rsidR="0051475E">
        <w:rPr>
          <w:rFonts w:ascii="Arial" w:hAnsi="Arial" w:cs="Arial"/>
          <w:sz w:val="24"/>
          <w:szCs w:val="24"/>
        </w:rPr>
        <w:t xml:space="preserve"> progetto e l’emissione dei crediti a</w:t>
      </w:r>
      <w:r w:rsidR="00F202D0">
        <w:rPr>
          <w:rFonts w:ascii="Arial" w:hAnsi="Arial" w:cs="Arial"/>
          <w:sz w:val="24"/>
          <w:szCs w:val="24"/>
        </w:rPr>
        <w:t xml:space="preserve">ssociati alle attività ecosistemiche inerenti </w:t>
      </w:r>
      <w:r w:rsidR="00B95E0A">
        <w:rPr>
          <w:rFonts w:ascii="Arial" w:hAnsi="Arial" w:cs="Arial"/>
          <w:sz w:val="24"/>
          <w:szCs w:val="24"/>
        </w:rPr>
        <w:t>al</w:t>
      </w:r>
      <w:r w:rsidR="00F202D0">
        <w:rPr>
          <w:rFonts w:ascii="Arial" w:hAnsi="Arial" w:cs="Arial"/>
          <w:sz w:val="24"/>
          <w:szCs w:val="24"/>
        </w:rPr>
        <w:t xml:space="preserve">lo stock di carbonio. Le modalità di calcolo sono descritte </w:t>
      </w:r>
      <w:r w:rsidR="004E76FA">
        <w:rPr>
          <w:rFonts w:ascii="Arial" w:hAnsi="Arial" w:cs="Arial"/>
          <w:sz w:val="24"/>
          <w:szCs w:val="24"/>
        </w:rPr>
        <w:t xml:space="preserve">in sintesi nell’Allegato IV parte A del Regolamento, ma successivamente la Commissione ha ritenuto opportuno </w:t>
      </w:r>
      <w:r w:rsidR="000F5484">
        <w:rPr>
          <w:rFonts w:ascii="Arial" w:hAnsi="Arial" w:cs="Arial"/>
          <w:sz w:val="24"/>
          <w:szCs w:val="24"/>
        </w:rPr>
        <w:t xml:space="preserve">rilasciare una </w:t>
      </w:r>
      <w:proofErr w:type="spellStart"/>
      <w:r w:rsidR="000F5484">
        <w:rPr>
          <w:rFonts w:ascii="Arial" w:hAnsi="Arial" w:cs="Arial"/>
          <w:sz w:val="24"/>
          <w:szCs w:val="24"/>
        </w:rPr>
        <w:t>Guidance</w:t>
      </w:r>
      <w:proofErr w:type="spellEnd"/>
      <w:r w:rsidR="000F5484">
        <w:rPr>
          <w:rFonts w:ascii="Arial" w:hAnsi="Arial" w:cs="Arial"/>
          <w:sz w:val="24"/>
          <w:szCs w:val="24"/>
        </w:rPr>
        <w:t xml:space="preserve"> per il calco dei FRL, che è utile </w:t>
      </w:r>
      <w:r w:rsidR="007B59FA">
        <w:rPr>
          <w:rFonts w:ascii="Arial" w:hAnsi="Arial" w:cs="Arial"/>
          <w:sz w:val="24"/>
          <w:szCs w:val="24"/>
        </w:rPr>
        <w:t xml:space="preserve">considerare brevemente. </w:t>
      </w:r>
    </w:p>
    <w:p w14:paraId="633B79AB" w14:textId="44B08240" w:rsidR="00CD5A3A" w:rsidRDefault="00CD5A3A" w:rsidP="006332E1">
      <w:pPr>
        <w:pStyle w:val="Corpotesto"/>
        <w:ind w:right="45"/>
        <w:jc w:val="both"/>
        <w:rPr>
          <w:rFonts w:ascii="Arial" w:hAnsi="Arial" w:cs="Arial"/>
          <w:sz w:val="24"/>
          <w:szCs w:val="24"/>
        </w:rPr>
      </w:pPr>
    </w:p>
    <w:p w14:paraId="4281BBE0" w14:textId="06114610" w:rsidR="004D6ED9" w:rsidRDefault="004D6ED9" w:rsidP="006332E1">
      <w:pPr>
        <w:pStyle w:val="Corpotesto"/>
        <w:ind w:right="45"/>
        <w:jc w:val="both"/>
        <w:rPr>
          <w:rFonts w:ascii="Arial" w:hAnsi="Arial" w:cs="Arial"/>
          <w:sz w:val="24"/>
          <w:szCs w:val="24"/>
        </w:rPr>
      </w:pPr>
    </w:p>
    <w:p w14:paraId="5FB98470" w14:textId="2F152D6F" w:rsidR="004D6ED9" w:rsidRPr="00756314" w:rsidRDefault="00291902" w:rsidP="001C57F5">
      <w:pPr>
        <w:pStyle w:val="Titolo2"/>
      </w:pPr>
      <w:bookmarkStart w:id="9" w:name="_Toc74265398"/>
      <w:r w:rsidRPr="00756314">
        <w:t xml:space="preserve">Considerazioni relative alla </w:t>
      </w:r>
      <w:proofErr w:type="spellStart"/>
      <w:r w:rsidRPr="00756314">
        <w:t>Guidance</w:t>
      </w:r>
      <w:proofErr w:type="spellEnd"/>
      <w:r w:rsidRPr="00756314">
        <w:t xml:space="preserve"> sui FRL</w:t>
      </w:r>
      <w:r w:rsidR="003107C1">
        <w:rPr>
          <w:rStyle w:val="Rimandonotaapidipagina"/>
        </w:rPr>
        <w:footnoteReference w:id="48"/>
      </w:r>
      <w:bookmarkEnd w:id="9"/>
    </w:p>
    <w:p w14:paraId="76CF9A0E" w14:textId="74ACE9E6" w:rsidR="00291902" w:rsidRDefault="00291902" w:rsidP="006332E1">
      <w:pPr>
        <w:pStyle w:val="Corpotesto"/>
        <w:ind w:right="45"/>
        <w:jc w:val="both"/>
        <w:rPr>
          <w:rFonts w:ascii="Arial" w:hAnsi="Arial" w:cs="Arial"/>
          <w:sz w:val="24"/>
          <w:szCs w:val="24"/>
        </w:rPr>
      </w:pPr>
    </w:p>
    <w:p w14:paraId="289616D7" w14:textId="6AB23977" w:rsidR="004A6106" w:rsidRDefault="002740E3" w:rsidP="004B6808">
      <w:pPr>
        <w:pStyle w:val="Corpotesto"/>
        <w:ind w:right="45" w:firstLine="567"/>
        <w:jc w:val="both"/>
        <w:rPr>
          <w:rFonts w:ascii="Arial" w:hAnsi="Arial" w:cs="Arial"/>
          <w:sz w:val="24"/>
          <w:szCs w:val="24"/>
        </w:rPr>
      </w:pPr>
      <w:r>
        <w:rPr>
          <w:rFonts w:ascii="Arial" w:hAnsi="Arial" w:cs="Arial"/>
          <w:sz w:val="24"/>
          <w:szCs w:val="24"/>
        </w:rPr>
        <w:t>La logica utilizzata per l</w:t>
      </w:r>
      <w:r w:rsidR="004B6808">
        <w:rPr>
          <w:rFonts w:ascii="Arial" w:hAnsi="Arial" w:cs="Arial"/>
          <w:sz w:val="24"/>
          <w:szCs w:val="24"/>
        </w:rPr>
        <w:t xml:space="preserve">a contabilizzazione degli assorbimenti netti </w:t>
      </w:r>
      <w:r w:rsidR="00413865">
        <w:rPr>
          <w:rFonts w:ascii="Arial" w:hAnsi="Arial" w:cs="Arial"/>
          <w:sz w:val="24"/>
          <w:szCs w:val="24"/>
        </w:rPr>
        <w:t xml:space="preserve">dai terreni forestali per i periodi 2021-25 e 2026-30 è quella </w:t>
      </w:r>
      <w:r w:rsidR="00EE6380">
        <w:rPr>
          <w:rFonts w:ascii="Arial" w:hAnsi="Arial" w:cs="Arial"/>
          <w:sz w:val="24"/>
          <w:szCs w:val="24"/>
        </w:rPr>
        <w:t xml:space="preserve">dell’addizionalità rispetto ad un BAU, </w:t>
      </w:r>
      <w:r w:rsidR="001006B1">
        <w:rPr>
          <w:rFonts w:ascii="Arial" w:hAnsi="Arial" w:cs="Arial"/>
          <w:sz w:val="24"/>
          <w:szCs w:val="24"/>
        </w:rPr>
        <w:t xml:space="preserve">che è il metodo previso nel CDM del Protocollo di Kyoto e che è stato introdotto anche nel </w:t>
      </w:r>
      <w:r w:rsidR="00BC7969">
        <w:rPr>
          <w:rFonts w:ascii="Arial" w:hAnsi="Arial" w:cs="Arial"/>
          <w:sz w:val="24"/>
          <w:szCs w:val="24"/>
        </w:rPr>
        <w:t>P</w:t>
      </w:r>
      <w:r w:rsidR="001006B1">
        <w:rPr>
          <w:rFonts w:ascii="Arial" w:hAnsi="Arial" w:cs="Arial"/>
          <w:sz w:val="24"/>
          <w:szCs w:val="24"/>
        </w:rPr>
        <w:t>rogetto</w:t>
      </w:r>
      <w:r w:rsidR="00BC7969">
        <w:rPr>
          <w:rFonts w:ascii="Arial" w:hAnsi="Arial" w:cs="Arial"/>
          <w:sz w:val="24"/>
          <w:szCs w:val="24"/>
        </w:rPr>
        <w:t xml:space="preserve"> LIFE CO2PES&amp;PEF</w:t>
      </w:r>
      <w:r w:rsidR="001006B1">
        <w:rPr>
          <w:rFonts w:ascii="Arial" w:hAnsi="Arial" w:cs="Arial"/>
          <w:sz w:val="24"/>
          <w:szCs w:val="24"/>
        </w:rPr>
        <w:t xml:space="preserve">. </w:t>
      </w:r>
      <w:r w:rsidR="006E247C">
        <w:rPr>
          <w:rFonts w:ascii="Arial" w:hAnsi="Arial" w:cs="Arial"/>
          <w:sz w:val="24"/>
          <w:szCs w:val="24"/>
        </w:rPr>
        <w:t>D’altra parte, l’approccio</w:t>
      </w:r>
      <w:r w:rsidR="0027408F">
        <w:rPr>
          <w:rFonts w:ascii="Arial" w:hAnsi="Arial" w:cs="Arial"/>
          <w:sz w:val="24"/>
          <w:szCs w:val="24"/>
        </w:rPr>
        <w:t xml:space="preserve"> della misurazione dell’addizionalità dello stoccaggio di carbonio rispetto ad una baseline è anche quello seguito da ISPRA nel</w:t>
      </w:r>
      <w:r w:rsidR="00EA2DA9">
        <w:rPr>
          <w:rFonts w:ascii="Arial" w:hAnsi="Arial" w:cs="Arial"/>
          <w:sz w:val="24"/>
          <w:szCs w:val="24"/>
        </w:rPr>
        <w:t xml:space="preserve">le analisi del NFAP italiano per il calcolo del FRL (come si vedrà nel prossimo paragrafo) e dal </w:t>
      </w:r>
      <w:r w:rsidR="00073ABB">
        <w:rPr>
          <w:rFonts w:ascii="Arial" w:hAnsi="Arial" w:cs="Arial"/>
          <w:sz w:val="24"/>
          <w:szCs w:val="24"/>
        </w:rPr>
        <w:t>Nucleo di Monitoraggio del Carbonio</w:t>
      </w:r>
      <w:r w:rsidR="00EA2DA9">
        <w:rPr>
          <w:rFonts w:ascii="Arial" w:hAnsi="Arial" w:cs="Arial"/>
          <w:sz w:val="24"/>
          <w:szCs w:val="24"/>
        </w:rPr>
        <w:t xml:space="preserve"> </w:t>
      </w:r>
      <w:r w:rsidR="00552D20">
        <w:rPr>
          <w:rFonts w:ascii="Arial" w:hAnsi="Arial" w:cs="Arial"/>
          <w:sz w:val="24"/>
          <w:szCs w:val="24"/>
        </w:rPr>
        <w:t xml:space="preserve">in Italia. </w:t>
      </w:r>
    </w:p>
    <w:p w14:paraId="20A2CB91" w14:textId="4652F135" w:rsidR="00291902" w:rsidRDefault="00813F05" w:rsidP="00742925">
      <w:pPr>
        <w:pStyle w:val="Corpotesto"/>
        <w:ind w:right="45" w:firstLine="567"/>
        <w:jc w:val="both"/>
        <w:rPr>
          <w:rFonts w:ascii="Arial" w:hAnsi="Arial" w:cs="Arial"/>
          <w:sz w:val="24"/>
          <w:szCs w:val="24"/>
        </w:rPr>
      </w:pPr>
      <w:r>
        <w:rPr>
          <w:rFonts w:ascii="Arial" w:hAnsi="Arial" w:cs="Arial"/>
          <w:sz w:val="24"/>
          <w:szCs w:val="24"/>
        </w:rPr>
        <w:t xml:space="preserve">I FRL rappresentano il BAU di riferimento per il calcolo </w:t>
      </w:r>
      <w:r w:rsidR="005C7973">
        <w:rPr>
          <w:rFonts w:ascii="Arial" w:hAnsi="Arial" w:cs="Arial"/>
          <w:sz w:val="24"/>
          <w:szCs w:val="24"/>
        </w:rPr>
        <w:t>carbonio stoccato</w:t>
      </w:r>
      <w:r w:rsidR="004A10A3">
        <w:rPr>
          <w:rFonts w:ascii="Arial" w:hAnsi="Arial" w:cs="Arial"/>
          <w:sz w:val="24"/>
          <w:szCs w:val="24"/>
        </w:rPr>
        <w:t xml:space="preserve"> con le pratiche </w:t>
      </w:r>
      <w:proofErr w:type="spellStart"/>
      <w:r w:rsidR="004A10A3">
        <w:rPr>
          <w:rFonts w:ascii="Arial" w:hAnsi="Arial" w:cs="Arial"/>
          <w:sz w:val="24"/>
          <w:szCs w:val="24"/>
        </w:rPr>
        <w:t>selvicolturali</w:t>
      </w:r>
      <w:proofErr w:type="spellEnd"/>
      <w:r w:rsidR="004A10A3">
        <w:rPr>
          <w:rFonts w:ascii="Arial" w:hAnsi="Arial" w:cs="Arial"/>
          <w:sz w:val="24"/>
          <w:szCs w:val="24"/>
        </w:rPr>
        <w:t xml:space="preserve"> ordinarie</w:t>
      </w:r>
      <w:r w:rsidR="004A10A3">
        <w:rPr>
          <w:rStyle w:val="Rimandonotaapidipagina"/>
          <w:rFonts w:ascii="Arial" w:hAnsi="Arial" w:cs="Arial"/>
          <w:sz w:val="24"/>
          <w:szCs w:val="24"/>
        </w:rPr>
        <w:footnoteReference w:id="49"/>
      </w:r>
      <w:r w:rsidR="005C7973">
        <w:rPr>
          <w:rFonts w:ascii="Arial" w:hAnsi="Arial" w:cs="Arial"/>
          <w:sz w:val="24"/>
          <w:szCs w:val="24"/>
        </w:rPr>
        <w:t xml:space="preserve"> </w:t>
      </w:r>
      <w:r>
        <w:rPr>
          <w:rFonts w:ascii="Arial" w:hAnsi="Arial" w:cs="Arial"/>
          <w:sz w:val="24"/>
          <w:szCs w:val="24"/>
        </w:rPr>
        <w:t xml:space="preserve">secondo il Regolamento </w:t>
      </w:r>
      <w:r w:rsidR="003906F5">
        <w:rPr>
          <w:rFonts w:ascii="Arial" w:hAnsi="Arial" w:cs="Arial"/>
          <w:sz w:val="24"/>
          <w:szCs w:val="24"/>
        </w:rPr>
        <w:t>841/2018</w:t>
      </w:r>
      <w:r w:rsidR="00B910A0">
        <w:rPr>
          <w:rFonts w:ascii="Arial" w:hAnsi="Arial" w:cs="Arial"/>
          <w:sz w:val="24"/>
          <w:szCs w:val="24"/>
        </w:rPr>
        <w:t xml:space="preserve"> e</w:t>
      </w:r>
      <w:r w:rsidR="00830968">
        <w:rPr>
          <w:rFonts w:ascii="Arial" w:hAnsi="Arial" w:cs="Arial"/>
          <w:sz w:val="24"/>
          <w:szCs w:val="24"/>
        </w:rPr>
        <w:t xml:space="preserve">d è utilizzato </w:t>
      </w:r>
      <w:r w:rsidR="00830968" w:rsidRPr="00830968">
        <w:rPr>
          <w:rFonts w:ascii="Arial" w:hAnsi="Arial" w:cs="Arial"/>
          <w:sz w:val="24"/>
          <w:szCs w:val="24"/>
        </w:rPr>
        <w:t xml:space="preserve">come </w:t>
      </w:r>
      <w:r w:rsidR="00B910A0" w:rsidRPr="00293D1D">
        <w:rPr>
          <w:rFonts w:ascii="Arial" w:hAnsi="Arial" w:cs="Arial"/>
          <w:color w:val="222222"/>
          <w:sz w:val="24"/>
          <w:szCs w:val="24"/>
          <w:shd w:val="clear" w:color="auto" w:fill="FFFFFF"/>
        </w:rPr>
        <w:t>termine di riferimento per calcolare debiti e crediti per l'accounting internazionale</w:t>
      </w:r>
      <w:r w:rsidR="003906F5">
        <w:rPr>
          <w:rFonts w:ascii="Arial" w:hAnsi="Arial" w:cs="Arial"/>
          <w:sz w:val="24"/>
          <w:szCs w:val="24"/>
        </w:rPr>
        <w:t xml:space="preserve">. Tale interpretazione è anche definita dalla </w:t>
      </w:r>
      <w:proofErr w:type="spellStart"/>
      <w:r w:rsidR="003906F5">
        <w:rPr>
          <w:rFonts w:ascii="Arial" w:hAnsi="Arial" w:cs="Arial"/>
          <w:sz w:val="24"/>
          <w:szCs w:val="24"/>
        </w:rPr>
        <w:t>Guidance</w:t>
      </w:r>
      <w:proofErr w:type="spellEnd"/>
      <w:r w:rsidR="008F24BD">
        <w:rPr>
          <w:rFonts w:ascii="Arial" w:hAnsi="Arial" w:cs="Arial"/>
          <w:sz w:val="24"/>
          <w:szCs w:val="24"/>
        </w:rPr>
        <w:t xml:space="preserve"> sul FRL a </w:t>
      </w:r>
      <w:proofErr w:type="spellStart"/>
      <w:r w:rsidR="008F24BD">
        <w:rPr>
          <w:rFonts w:ascii="Arial" w:hAnsi="Arial" w:cs="Arial"/>
          <w:sz w:val="24"/>
          <w:szCs w:val="24"/>
        </w:rPr>
        <w:t>pag</w:t>
      </w:r>
      <w:proofErr w:type="spellEnd"/>
      <w:r w:rsidR="008F24BD">
        <w:rPr>
          <w:rFonts w:ascii="Arial" w:hAnsi="Arial" w:cs="Arial"/>
          <w:sz w:val="24"/>
          <w:szCs w:val="24"/>
        </w:rPr>
        <w:t xml:space="preserve"> 14</w:t>
      </w:r>
      <w:r w:rsidR="00F33EE4">
        <w:rPr>
          <w:rFonts w:ascii="Arial" w:hAnsi="Arial" w:cs="Arial"/>
          <w:sz w:val="24"/>
          <w:szCs w:val="24"/>
        </w:rPr>
        <w:t>. L</w:t>
      </w:r>
      <w:r w:rsidR="008F24BD">
        <w:rPr>
          <w:rFonts w:ascii="Arial" w:hAnsi="Arial" w:cs="Arial"/>
          <w:sz w:val="24"/>
          <w:szCs w:val="24"/>
        </w:rPr>
        <w:t>’</w:t>
      </w:r>
      <w:r w:rsidR="001F5F92">
        <w:rPr>
          <w:rFonts w:ascii="Arial" w:hAnsi="Arial" w:cs="Arial"/>
          <w:sz w:val="24"/>
          <w:szCs w:val="24"/>
        </w:rPr>
        <w:t xml:space="preserve">obbiettivo </w:t>
      </w:r>
      <w:r w:rsidR="00EB04C4">
        <w:rPr>
          <w:rFonts w:ascii="Arial" w:hAnsi="Arial" w:cs="Arial"/>
          <w:sz w:val="24"/>
          <w:szCs w:val="24"/>
        </w:rPr>
        <w:t xml:space="preserve">è quello </w:t>
      </w:r>
      <w:r w:rsidR="001F5F92">
        <w:rPr>
          <w:rFonts w:ascii="Arial" w:hAnsi="Arial" w:cs="Arial"/>
          <w:sz w:val="24"/>
          <w:szCs w:val="24"/>
        </w:rPr>
        <w:t xml:space="preserve">di definire </w:t>
      </w:r>
      <w:r w:rsidR="00766E7D">
        <w:rPr>
          <w:rFonts w:ascii="Arial" w:hAnsi="Arial" w:cs="Arial"/>
          <w:sz w:val="24"/>
          <w:szCs w:val="24"/>
        </w:rPr>
        <w:t>le migliori attività in termini di mitigazione del cambiamento climatico</w:t>
      </w:r>
      <w:r w:rsidR="00EB04C4">
        <w:rPr>
          <w:rFonts w:ascii="Arial" w:hAnsi="Arial" w:cs="Arial"/>
          <w:sz w:val="24"/>
          <w:szCs w:val="24"/>
        </w:rPr>
        <w:t xml:space="preserve"> ma anche </w:t>
      </w:r>
      <w:r w:rsidR="00370DD6">
        <w:rPr>
          <w:rFonts w:ascii="Arial" w:hAnsi="Arial" w:cs="Arial"/>
          <w:sz w:val="24"/>
          <w:szCs w:val="24"/>
        </w:rPr>
        <w:t>la traduzione di quest</w:t>
      </w:r>
      <w:r w:rsidR="00A437A2">
        <w:rPr>
          <w:rFonts w:ascii="Arial" w:hAnsi="Arial" w:cs="Arial"/>
          <w:sz w:val="24"/>
          <w:szCs w:val="24"/>
        </w:rPr>
        <w:t>o obbiettivo in termini di debiti e di crediti</w:t>
      </w:r>
      <w:r w:rsidR="00766E7D">
        <w:rPr>
          <w:rFonts w:ascii="Arial" w:hAnsi="Arial" w:cs="Arial"/>
          <w:sz w:val="24"/>
          <w:szCs w:val="24"/>
        </w:rPr>
        <w:t xml:space="preserve">. </w:t>
      </w:r>
      <w:r w:rsidR="00742925">
        <w:rPr>
          <w:rFonts w:ascii="Arial" w:hAnsi="Arial" w:cs="Arial"/>
          <w:sz w:val="24"/>
          <w:szCs w:val="24"/>
        </w:rPr>
        <w:t xml:space="preserve">In altri termini, nella </w:t>
      </w:r>
      <w:proofErr w:type="spellStart"/>
      <w:r w:rsidR="00742925">
        <w:rPr>
          <w:rFonts w:ascii="Arial" w:hAnsi="Arial" w:cs="Arial"/>
          <w:sz w:val="24"/>
          <w:szCs w:val="24"/>
        </w:rPr>
        <w:t>Guidance</w:t>
      </w:r>
      <w:proofErr w:type="spellEnd"/>
      <w:r w:rsidR="00742925">
        <w:rPr>
          <w:rFonts w:ascii="Arial" w:hAnsi="Arial" w:cs="Arial"/>
          <w:sz w:val="24"/>
          <w:szCs w:val="24"/>
        </w:rPr>
        <w:t xml:space="preserve"> si </w:t>
      </w:r>
      <w:r w:rsidR="0084374A">
        <w:rPr>
          <w:rFonts w:ascii="Arial" w:hAnsi="Arial" w:cs="Arial"/>
          <w:sz w:val="24"/>
          <w:szCs w:val="24"/>
        </w:rPr>
        <w:t>esplicita l’idea che l</w:t>
      </w:r>
      <w:r w:rsidR="00FA18AE">
        <w:rPr>
          <w:rFonts w:ascii="Arial" w:hAnsi="Arial" w:cs="Arial"/>
          <w:sz w:val="24"/>
          <w:szCs w:val="24"/>
        </w:rPr>
        <w:t xml:space="preserve">a contabilità LULUCF produce debiti e crediti (ovvero </w:t>
      </w:r>
      <w:r w:rsidR="00C46B58">
        <w:rPr>
          <w:rFonts w:ascii="Arial" w:hAnsi="Arial" w:cs="Arial"/>
          <w:sz w:val="24"/>
          <w:szCs w:val="24"/>
        </w:rPr>
        <w:t xml:space="preserve">incremento o riduzione delle emissioni) che hanno lo </w:t>
      </w:r>
      <w:r w:rsidR="00587A40">
        <w:rPr>
          <w:rFonts w:ascii="Arial" w:hAnsi="Arial" w:cs="Arial"/>
          <w:sz w:val="24"/>
          <w:szCs w:val="24"/>
        </w:rPr>
        <w:t>scopo di supportare il raggiungimento dell’obbiettivo generale di riduzione delle emissioni del 55%</w:t>
      </w:r>
      <w:r w:rsidR="000D5775">
        <w:rPr>
          <w:rFonts w:ascii="Arial" w:hAnsi="Arial" w:cs="Arial"/>
          <w:sz w:val="24"/>
          <w:szCs w:val="24"/>
        </w:rPr>
        <w:t xml:space="preserve"> e di </w:t>
      </w:r>
      <w:r w:rsidR="00756314">
        <w:rPr>
          <w:rFonts w:ascii="Arial" w:hAnsi="Arial" w:cs="Arial"/>
          <w:sz w:val="24"/>
          <w:szCs w:val="24"/>
        </w:rPr>
        <w:t xml:space="preserve">sviluppare incentivi per le azioni e le policy che operano in questa direzione. </w:t>
      </w:r>
    </w:p>
    <w:p w14:paraId="7F8B8913" w14:textId="07CAF8DF" w:rsidR="001F1160" w:rsidRDefault="001F1160" w:rsidP="00742925">
      <w:pPr>
        <w:pStyle w:val="Corpotesto"/>
        <w:ind w:right="45" w:firstLine="567"/>
        <w:jc w:val="both"/>
        <w:rPr>
          <w:rFonts w:ascii="Arial" w:hAnsi="Arial" w:cs="Arial"/>
          <w:sz w:val="24"/>
          <w:szCs w:val="24"/>
        </w:rPr>
      </w:pPr>
      <w:r>
        <w:rPr>
          <w:rFonts w:ascii="Arial" w:hAnsi="Arial" w:cs="Arial"/>
          <w:sz w:val="24"/>
          <w:szCs w:val="24"/>
        </w:rPr>
        <w:lastRenderedPageBreak/>
        <w:t xml:space="preserve">Con questo approccio concettuale, nella </w:t>
      </w:r>
      <w:proofErr w:type="spellStart"/>
      <w:r>
        <w:rPr>
          <w:rFonts w:ascii="Arial" w:hAnsi="Arial" w:cs="Arial"/>
          <w:sz w:val="24"/>
          <w:szCs w:val="24"/>
        </w:rPr>
        <w:t>Guidance</w:t>
      </w:r>
      <w:proofErr w:type="spellEnd"/>
      <w:r>
        <w:rPr>
          <w:rFonts w:ascii="Arial" w:hAnsi="Arial" w:cs="Arial"/>
          <w:sz w:val="24"/>
          <w:szCs w:val="24"/>
        </w:rPr>
        <w:t xml:space="preserve"> sono espressi i seguenti elementi </w:t>
      </w:r>
      <w:r w:rsidR="00A63BD1">
        <w:rPr>
          <w:rFonts w:ascii="Arial" w:hAnsi="Arial" w:cs="Arial"/>
          <w:sz w:val="24"/>
          <w:szCs w:val="24"/>
        </w:rPr>
        <w:t xml:space="preserve">che devono essere considerati per il calcolo del FRL. </w:t>
      </w:r>
    </w:p>
    <w:p w14:paraId="2D8670ED" w14:textId="19A6F729" w:rsidR="00756314" w:rsidRDefault="00756314" w:rsidP="006332E1">
      <w:pPr>
        <w:pStyle w:val="Corpotesto"/>
        <w:ind w:right="45"/>
        <w:jc w:val="both"/>
        <w:rPr>
          <w:rFonts w:ascii="Arial" w:hAnsi="Arial" w:cs="Arial"/>
          <w:sz w:val="24"/>
          <w:szCs w:val="24"/>
        </w:rPr>
      </w:pPr>
    </w:p>
    <w:p w14:paraId="3564A92D" w14:textId="3D1060A8" w:rsidR="00756314" w:rsidRDefault="008E583F" w:rsidP="00076117">
      <w:pPr>
        <w:pStyle w:val="Corpotesto"/>
        <w:numPr>
          <w:ilvl w:val="0"/>
          <w:numId w:val="17"/>
        </w:numPr>
        <w:ind w:right="45"/>
        <w:jc w:val="both"/>
        <w:rPr>
          <w:rFonts w:ascii="Arial" w:hAnsi="Arial" w:cs="Arial"/>
          <w:sz w:val="24"/>
          <w:szCs w:val="24"/>
        </w:rPr>
      </w:pPr>
      <w:r>
        <w:rPr>
          <w:rFonts w:ascii="Arial" w:hAnsi="Arial" w:cs="Arial"/>
          <w:sz w:val="24"/>
          <w:szCs w:val="24"/>
        </w:rPr>
        <w:t xml:space="preserve">La logica dei FRL è quella di fornire una baseline di ciò che avverrebbe </w:t>
      </w:r>
      <w:r w:rsidR="00E74EE2">
        <w:rPr>
          <w:rFonts w:ascii="Arial" w:hAnsi="Arial" w:cs="Arial"/>
          <w:sz w:val="24"/>
          <w:szCs w:val="24"/>
        </w:rPr>
        <w:t>qualora non vi fossero cambiamenti nelle poli</w:t>
      </w:r>
      <w:r w:rsidR="008070BB">
        <w:rPr>
          <w:rFonts w:ascii="Arial" w:hAnsi="Arial" w:cs="Arial"/>
          <w:sz w:val="24"/>
          <w:szCs w:val="24"/>
        </w:rPr>
        <w:t>ti</w:t>
      </w:r>
      <w:r w:rsidR="00E74EE2">
        <w:rPr>
          <w:rFonts w:ascii="Arial" w:hAnsi="Arial" w:cs="Arial"/>
          <w:sz w:val="24"/>
          <w:szCs w:val="24"/>
        </w:rPr>
        <w:t xml:space="preserve">che messe in atto. </w:t>
      </w:r>
      <w:r w:rsidR="008070BB">
        <w:rPr>
          <w:rFonts w:ascii="Arial" w:hAnsi="Arial" w:cs="Arial"/>
          <w:sz w:val="24"/>
          <w:szCs w:val="24"/>
        </w:rPr>
        <w:t>Per questa</w:t>
      </w:r>
      <w:r w:rsidR="00A31DFD">
        <w:rPr>
          <w:rFonts w:ascii="Arial" w:hAnsi="Arial" w:cs="Arial"/>
          <w:sz w:val="24"/>
          <w:szCs w:val="24"/>
        </w:rPr>
        <w:t xml:space="preserve"> ragione non considera nella sua valutazione le politiche future</w:t>
      </w:r>
      <w:r w:rsidR="00B43070">
        <w:rPr>
          <w:rFonts w:ascii="Arial" w:hAnsi="Arial" w:cs="Arial"/>
          <w:sz w:val="24"/>
          <w:szCs w:val="24"/>
        </w:rPr>
        <w:t xml:space="preserve">. </w:t>
      </w:r>
    </w:p>
    <w:p w14:paraId="3858F329" w14:textId="47753579" w:rsidR="00B43070" w:rsidRDefault="00B43070" w:rsidP="006332E1">
      <w:pPr>
        <w:pStyle w:val="Corpotesto"/>
        <w:ind w:right="45"/>
        <w:jc w:val="both"/>
        <w:rPr>
          <w:rFonts w:ascii="Arial" w:hAnsi="Arial" w:cs="Arial"/>
          <w:sz w:val="24"/>
          <w:szCs w:val="24"/>
        </w:rPr>
      </w:pPr>
    </w:p>
    <w:p w14:paraId="76914B08" w14:textId="6B0A0C28" w:rsidR="00B43070" w:rsidRDefault="006A3018" w:rsidP="00076117">
      <w:pPr>
        <w:pStyle w:val="Corpotesto"/>
        <w:numPr>
          <w:ilvl w:val="0"/>
          <w:numId w:val="17"/>
        </w:numPr>
        <w:ind w:right="45"/>
        <w:jc w:val="both"/>
        <w:rPr>
          <w:rFonts w:ascii="Arial" w:hAnsi="Arial" w:cs="Arial"/>
          <w:sz w:val="24"/>
          <w:szCs w:val="24"/>
        </w:rPr>
      </w:pPr>
      <w:r>
        <w:rPr>
          <w:rFonts w:ascii="Arial" w:hAnsi="Arial" w:cs="Arial"/>
          <w:sz w:val="24"/>
          <w:szCs w:val="24"/>
        </w:rPr>
        <w:t xml:space="preserve">In linea </w:t>
      </w:r>
      <w:r w:rsidR="002B17B1">
        <w:rPr>
          <w:rFonts w:ascii="Arial" w:hAnsi="Arial" w:cs="Arial"/>
          <w:sz w:val="24"/>
          <w:szCs w:val="24"/>
        </w:rPr>
        <w:t>c</w:t>
      </w:r>
      <w:r>
        <w:rPr>
          <w:rFonts w:ascii="Arial" w:hAnsi="Arial" w:cs="Arial"/>
          <w:sz w:val="24"/>
          <w:szCs w:val="24"/>
        </w:rPr>
        <w:t xml:space="preserve">on l’accordo di Parigi, la contabilità dei gas GHG secondo </w:t>
      </w:r>
      <w:r w:rsidR="00647F88">
        <w:rPr>
          <w:rFonts w:ascii="Arial" w:hAnsi="Arial" w:cs="Arial"/>
          <w:sz w:val="24"/>
          <w:szCs w:val="24"/>
        </w:rPr>
        <w:t xml:space="preserve">la normativa LULUCF considera </w:t>
      </w:r>
      <w:r w:rsidR="001E51EB">
        <w:rPr>
          <w:rFonts w:ascii="Arial" w:hAnsi="Arial" w:cs="Arial"/>
          <w:sz w:val="24"/>
          <w:szCs w:val="24"/>
        </w:rPr>
        <w:t xml:space="preserve">esclusivamente le emissioni di origine antropica </w:t>
      </w:r>
      <w:r w:rsidR="00A43EF5">
        <w:rPr>
          <w:rFonts w:ascii="Arial" w:hAnsi="Arial" w:cs="Arial"/>
          <w:sz w:val="24"/>
          <w:szCs w:val="24"/>
        </w:rPr>
        <w:t>che vengono stoccate o rimosse dai pozzi. Pertanto</w:t>
      </w:r>
      <w:r w:rsidR="00255370">
        <w:rPr>
          <w:rFonts w:ascii="Arial" w:hAnsi="Arial" w:cs="Arial"/>
          <w:sz w:val="24"/>
          <w:szCs w:val="24"/>
        </w:rPr>
        <w:t>,</w:t>
      </w:r>
      <w:r w:rsidR="00A43EF5">
        <w:rPr>
          <w:rFonts w:ascii="Arial" w:hAnsi="Arial" w:cs="Arial"/>
          <w:sz w:val="24"/>
          <w:szCs w:val="24"/>
        </w:rPr>
        <w:t xml:space="preserve"> </w:t>
      </w:r>
      <w:r w:rsidR="006A20AE">
        <w:rPr>
          <w:rFonts w:ascii="Arial" w:hAnsi="Arial" w:cs="Arial"/>
          <w:sz w:val="24"/>
          <w:szCs w:val="24"/>
        </w:rPr>
        <w:t>i disturbi di origine naturale non vengono considerati, anche se – in accordo con l</w:t>
      </w:r>
      <w:r w:rsidR="000B588E">
        <w:rPr>
          <w:rFonts w:ascii="Arial" w:hAnsi="Arial" w:cs="Arial"/>
          <w:sz w:val="24"/>
          <w:szCs w:val="24"/>
        </w:rPr>
        <w:t>a premessa</w:t>
      </w:r>
      <w:r w:rsidR="006A20AE">
        <w:rPr>
          <w:rFonts w:ascii="Arial" w:hAnsi="Arial" w:cs="Arial"/>
          <w:sz w:val="24"/>
          <w:szCs w:val="24"/>
        </w:rPr>
        <w:t xml:space="preserve"> 8 </w:t>
      </w:r>
      <w:r w:rsidR="000B588E">
        <w:rPr>
          <w:rFonts w:ascii="Arial" w:hAnsi="Arial" w:cs="Arial"/>
          <w:sz w:val="24"/>
          <w:szCs w:val="24"/>
        </w:rPr>
        <w:t>–</w:t>
      </w:r>
      <w:r w:rsidR="006A20AE">
        <w:rPr>
          <w:rFonts w:ascii="Arial" w:hAnsi="Arial" w:cs="Arial"/>
          <w:sz w:val="24"/>
          <w:szCs w:val="24"/>
        </w:rPr>
        <w:t xml:space="preserve"> </w:t>
      </w:r>
      <w:r w:rsidR="000B588E">
        <w:rPr>
          <w:rFonts w:ascii="Arial" w:hAnsi="Arial" w:cs="Arial"/>
          <w:sz w:val="24"/>
          <w:szCs w:val="24"/>
        </w:rPr>
        <w:t xml:space="preserve">la prevenzione </w:t>
      </w:r>
      <w:r w:rsidR="00946C6D">
        <w:rPr>
          <w:rFonts w:ascii="Arial" w:hAnsi="Arial" w:cs="Arial"/>
          <w:sz w:val="24"/>
          <w:szCs w:val="24"/>
        </w:rPr>
        <w:t xml:space="preserve">attiva </w:t>
      </w:r>
      <w:r w:rsidR="000B588E">
        <w:rPr>
          <w:rFonts w:ascii="Arial" w:hAnsi="Arial" w:cs="Arial"/>
          <w:sz w:val="24"/>
          <w:szCs w:val="24"/>
        </w:rPr>
        <w:t xml:space="preserve">di questi eventi </w:t>
      </w:r>
      <w:r w:rsidR="00946C6D">
        <w:rPr>
          <w:rFonts w:ascii="Arial" w:hAnsi="Arial" w:cs="Arial"/>
          <w:sz w:val="24"/>
          <w:szCs w:val="24"/>
        </w:rPr>
        <w:t xml:space="preserve">è essenziale. </w:t>
      </w:r>
      <w:r w:rsidR="00BF7E2F">
        <w:rPr>
          <w:rFonts w:ascii="Arial" w:hAnsi="Arial" w:cs="Arial"/>
          <w:sz w:val="24"/>
          <w:szCs w:val="24"/>
        </w:rPr>
        <w:t>Q</w:t>
      </w:r>
      <w:r w:rsidR="00767707">
        <w:rPr>
          <w:rFonts w:ascii="Arial" w:hAnsi="Arial" w:cs="Arial"/>
          <w:sz w:val="24"/>
          <w:szCs w:val="24"/>
        </w:rPr>
        <w:t xml:space="preserve">uesto è coerente con l’uso dei modelli </w:t>
      </w:r>
      <w:proofErr w:type="spellStart"/>
      <w:r w:rsidR="00767707">
        <w:rPr>
          <w:rFonts w:ascii="Arial" w:hAnsi="Arial" w:cs="Arial"/>
          <w:sz w:val="24"/>
          <w:szCs w:val="24"/>
        </w:rPr>
        <w:t>Forest</w:t>
      </w:r>
      <w:proofErr w:type="spellEnd"/>
      <w:r w:rsidR="00767707">
        <w:rPr>
          <w:rFonts w:ascii="Arial" w:hAnsi="Arial" w:cs="Arial"/>
          <w:sz w:val="24"/>
          <w:szCs w:val="24"/>
        </w:rPr>
        <w:t xml:space="preserve"> </w:t>
      </w:r>
      <w:proofErr w:type="spellStart"/>
      <w:r w:rsidR="00767707">
        <w:rPr>
          <w:rFonts w:ascii="Arial" w:hAnsi="Arial" w:cs="Arial"/>
          <w:sz w:val="24"/>
          <w:szCs w:val="24"/>
        </w:rPr>
        <w:t>Gales</w:t>
      </w:r>
      <w:proofErr w:type="spellEnd"/>
      <w:r w:rsidR="00767707">
        <w:rPr>
          <w:rFonts w:ascii="Arial" w:hAnsi="Arial" w:cs="Arial"/>
          <w:sz w:val="24"/>
          <w:szCs w:val="24"/>
        </w:rPr>
        <w:t xml:space="preserve">, </w:t>
      </w:r>
      <w:proofErr w:type="spellStart"/>
      <w:r w:rsidR="00767707">
        <w:rPr>
          <w:rFonts w:ascii="Arial" w:hAnsi="Arial" w:cs="Arial"/>
          <w:sz w:val="24"/>
          <w:szCs w:val="24"/>
        </w:rPr>
        <w:t>Flammap</w:t>
      </w:r>
      <w:proofErr w:type="spellEnd"/>
      <w:r w:rsidR="00767707">
        <w:rPr>
          <w:rFonts w:ascii="Arial" w:hAnsi="Arial" w:cs="Arial"/>
          <w:sz w:val="24"/>
          <w:szCs w:val="24"/>
        </w:rPr>
        <w:t xml:space="preserve"> e </w:t>
      </w:r>
      <w:proofErr w:type="spellStart"/>
      <w:r w:rsidR="00767707">
        <w:rPr>
          <w:rFonts w:ascii="Arial" w:hAnsi="Arial" w:cs="Arial"/>
          <w:sz w:val="24"/>
          <w:szCs w:val="24"/>
        </w:rPr>
        <w:t>Behave</w:t>
      </w:r>
      <w:proofErr w:type="spellEnd"/>
      <w:r w:rsidR="00767707">
        <w:rPr>
          <w:rFonts w:ascii="Arial" w:hAnsi="Arial" w:cs="Arial"/>
          <w:sz w:val="24"/>
          <w:szCs w:val="24"/>
        </w:rPr>
        <w:t xml:space="preserve"> nel Progetto</w:t>
      </w:r>
      <w:r w:rsidR="00187681">
        <w:rPr>
          <w:rFonts w:ascii="Arial" w:hAnsi="Arial" w:cs="Arial"/>
          <w:sz w:val="24"/>
          <w:szCs w:val="24"/>
        </w:rPr>
        <w:t xml:space="preserve"> LIFE CO2PES&amp;PEF.</w:t>
      </w:r>
    </w:p>
    <w:p w14:paraId="7FCA8913" w14:textId="3FED97E7" w:rsidR="00946C6D" w:rsidRDefault="00946C6D" w:rsidP="006332E1">
      <w:pPr>
        <w:pStyle w:val="Corpotesto"/>
        <w:ind w:right="45"/>
        <w:jc w:val="both"/>
        <w:rPr>
          <w:rFonts w:ascii="Arial" w:hAnsi="Arial" w:cs="Arial"/>
          <w:sz w:val="24"/>
          <w:szCs w:val="24"/>
        </w:rPr>
      </w:pPr>
    </w:p>
    <w:p w14:paraId="7F25109D" w14:textId="3DA1EBFC" w:rsidR="0081441F" w:rsidRDefault="000271F5" w:rsidP="00076117">
      <w:pPr>
        <w:pStyle w:val="Corpotesto"/>
        <w:numPr>
          <w:ilvl w:val="0"/>
          <w:numId w:val="17"/>
        </w:numPr>
        <w:ind w:right="45"/>
        <w:jc w:val="both"/>
        <w:rPr>
          <w:rFonts w:ascii="Arial" w:hAnsi="Arial" w:cs="Arial"/>
          <w:sz w:val="24"/>
          <w:szCs w:val="24"/>
        </w:rPr>
      </w:pPr>
      <w:r>
        <w:rPr>
          <w:rFonts w:ascii="Arial" w:hAnsi="Arial" w:cs="Arial"/>
          <w:sz w:val="24"/>
          <w:szCs w:val="24"/>
        </w:rPr>
        <w:t xml:space="preserve">Si ritiene opportuno che la </w:t>
      </w:r>
      <w:r w:rsidR="009468E7">
        <w:rPr>
          <w:rFonts w:ascii="Arial" w:hAnsi="Arial" w:cs="Arial"/>
          <w:sz w:val="24"/>
          <w:szCs w:val="24"/>
        </w:rPr>
        <w:t xml:space="preserve">costruzione dei FRL sia il più vicina possibile ai criteri di stratificazione e analisi </w:t>
      </w:r>
      <w:r w:rsidR="00327BFA">
        <w:rPr>
          <w:rFonts w:ascii="Arial" w:hAnsi="Arial" w:cs="Arial"/>
          <w:sz w:val="24"/>
          <w:szCs w:val="24"/>
        </w:rPr>
        <w:t xml:space="preserve">utilizzati negli Inventari Forestali Nazionali degli SM. </w:t>
      </w:r>
    </w:p>
    <w:p w14:paraId="07E6E4DD" w14:textId="3FE69C3F" w:rsidR="00C21243" w:rsidRDefault="00C21243" w:rsidP="006332E1">
      <w:pPr>
        <w:pStyle w:val="Corpotesto"/>
        <w:ind w:right="45"/>
        <w:jc w:val="both"/>
        <w:rPr>
          <w:rFonts w:ascii="Arial" w:hAnsi="Arial" w:cs="Arial"/>
          <w:sz w:val="24"/>
          <w:szCs w:val="24"/>
        </w:rPr>
      </w:pPr>
    </w:p>
    <w:p w14:paraId="0D04EBF1" w14:textId="4A542007" w:rsidR="00C21243" w:rsidRDefault="00C21243" w:rsidP="00076117">
      <w:pPr>
        <w:pStyle w:val="Corpotesto"/>
        <w:numPr>
          <w:ilvl w:val="0"/>
          <w:numId w:val="17"/>
        </w:numPr>
        <w:ind w:right="45"/>
        <w:jc w:val="both"/>
        <w:rPr>
          <w:rFonts w:ascii="Arial" w:hAnsi="Arial" w:cs="Arial"/>
          <w:sz w:val="24"/>
          <w:szCs w:val="24"/>
        </w:rPr>
      </w:pPr>
      <w:r>
        <w:rPr>
          <w:rFonts w:ascii="Arial" w:hAnsi="Arial" w:cs="Arial"/>
          <w:sz w:val="24"/>
          <w:szCs w:val="24"/>
        </w:rPr>
        <w:t xml:space="preserve">Non è considerata una buona pratica nel calcolo dei FRL </w:t>
      </w:r>
      <w:r w:rsidR="00B06C66">
        <w:rPr>
          <w:rFonts w:ascii="Arial" w:hAnsi="Arial" w:cs="Arial"/>
          <w:sz w:val="24"/>
          <w:szCs w:val="24"/>
        </w:rPr>
        <w:t xml:space="preserve">la valutazione basata su assunzioni o su fonti di informazione </w:t>
      </w:r>
      <w:r w:rsidR="00A21A5B">
        <w:rPr>
          <w:rFonts w:ascii="Arial" w:hAnsi="Arial" w:cs="Arial"/>
          <w:sz w:val="24"/>
          <w:szCs w:val="24"/>
        </w:rPr>
        <w:t xml:space="preserve">basate su </w:t>
      </w:r>
      <w:proofErr w:type="gramStart"/>
      <w:r w:rsidR="00A21A5B">
        <w:rPr>
          <w:rFonts w:ascii="Arial" w:hAnsi="Arial" w:cs="Arial"/>
          <w:sz w:val="24"/>
          <w:szCs w:val="24"/>
        </w:rPr>
        <w:t>trend</w:t>
      </w:r>
      <w:proofErr w:type="gramEnd"/>
      <w:r w:rsidR="00530491">
        <w:rPr>
          <w:rFonts w:ascii="Arial" w:hAnsi="Arial" w:cs="Arial"/>
          <w:sz w:val="24"/>
          <w:szCs w:val="24"/>
        </w:rPr>
        <w:t xml:space="preserve"> e proiezioni, come il prezzo del legno, la domanda stimata, i tassi di interesse, etc. </w:t>
      </w:r>
      <w:r w:rsidR="006D4E15">
        <w:rPr>
          <w:rFonts w:ascii="Arial" w:hAnsi="Arial" w:cs="Arial"/>
          <w:sz w:val="24"/>
          <w:szCs w:val="24"/>
        </w:rPr>
        <w:t xml:space="preserve">Ci si deve concentrare essenzialmente sulle attività che si intende mettere in atto durante </w:t>
      </w:r>
      <w:r w:rsidR="00833344">
        <w:rPr>
          <w:rFonts w:ascii="Arial" w:hAnsi="Arial" w:cs="Arial"/>
          <w:sz w:val="24"/>
          <w:szCs w:val="24"/>
        </w:rPr>
        <w:t>l’RP</w:t>
      </w:r>
      <w:r w:rsidR="00833344">
        <w:rPr>
          <w:rStyle w:val="Rimandonotaapidipagina"/>
          <w:rFonts w:ascii="Arial" w:hAnsi="Arial" w:cs="Arial"/>
          <w:sz w:val="24"/>
          <w:szCs w:val="24"/>
        </w:rPr>
        <w:footnoteReference w:id="50"/>
      </w:r>
      <w:r w:rsidR="006B6432">
        <w:rPr>
          <w:rFonts w:ascii="Arial" w:hAnsi="Arial" w:cs="Arial"/>
          <w:sz w:val="24"/>
          <w:szCs w:val="24"/>
        </w:rPr>
        <w:t xml:space="preserve">. </w:t>
      </w:r>
    </w:p>
    <w:p w14:paraId="30C1A4EA" w14:textId="2772B8D5" w:rsidR="001E1280" w:rsidRDefault="001E1280" w:rsidP="006332E1">
      <w:pPr>
        <w:pStyle w:val="Corpotesto"/>
        <w:ind w:right="45"/>
        <w:jc w:val="both"/>
        <w:rPr>
          <w:rFonts w:ascii="Arial" w:hAnsi="Arial" w:cs="Arial"/>
          <w:sz w:val="24"/>
          <w:szCs w:val="24"/>
        </w:rPr>
      </w:pPr>
    </w:p>
    <w:p w14:paraId="77297BF2" w14:textId="1789584C" w:rsidR="002030BE" w:rsidRDefault="002030BE" w:rsidP="00076117">
      <w:pPr>
        <w:pStyle w:val="Corpotesto"/>
        <w:numPr>
          <w:ilvl w:val="0"/>
          <w:numId w:val="17"/>
        </w:numPr>
        <w:ind w:right="45"/>
        <w:jc w:val="both"/>
        <w:rPr>
          <w:rFonts w:ascii="Arial" w:hAnsi="Arial" w:cs="Arial"/>
          <w:sz w:val="24"/>
          <w:szCs w:val="24"/>
        </w:rPr>
      </w:pPr>
      <w:r>
        <w:rPr>
          <w:rFonts w:ascii="Arial" w:hAnsi="Arial" w:cs="Arial"/>
          <w:sz w:val="24"/>
          <w:szCs w:val="24"/>
        </w:rPr>
        <w:t xml:space="preserve">La valutazione </w:t>
      </w:r>
      <w:r w:rsidR="006163BF">
        <w:rPr>
          <w:rFonts w:ascii="Arial" w:hAnsi="Arial" w:cs="Arial"/>
          <w:sz w:val="24"/>
          <w:szCs w:val="24"/>
        </w:rPr>
        <w:t>del FRL si basa sui dati della gestione forestale del periodo 2000-09, ma non deve essere la mera p</w:t>
      </w:r>
      <w:r w:rsidR="00C45ED8">
        <w:rPr>
          <w:rFonts w:ascii="Arial" w:hAnsi="Arial" w:cs="Arial"/>
          <w:sz w:val="24"/>
          <w:szCs w:val="24"/>
        </w:rPr>
        <w:t xml:space="preserve">roiezione di questa negli anni dell’RP. </w:t>
      </w:r>
      <w:r w:rsidR="00881A8E">
        <w:rPr>
          <w:rFonts w:ascii="Arial" w:hAnsi="Arial" w:cs="Arial"/>
          <w:sz w:val="24"/>
          <w:szCs w:val="24"/>
        </w:rPr>
        <w:t>Tuttavia</w:t>
      </w:r>
      <w:r w:rsidR="00CF4061">
        <w:rPr>
          <w:rFonts w:ascii="Arial" w:hAnsi="Arial" w:cs="Arial"/>
          <w:sz w:val="24"/>
          <w:szCs w:val="24"/>
        </w:rPr>
        <w:t>,</w:t>
      </w:r>
      <w:r w:rsidR="00881A8E">
        <w:rPr>
          <w:rFonts w:ascii="Arial" w:hAnsi="Arial" w:cs="Arial"/>
          <w:sz w:val="24"/>
          <w:szCs w:val="24"/>
        </w:rPr>
        <w:t xml:space="preserve"> il periodo </w:t>
      </w:r>
      <w:r w:rsidR="00291140">
        <w:rPr>
          <w:rFonts w:ascii="Arial" w:hAnsi="Arial" w:cs="Arial"/>
          <w:sz w:val="24"/>
          <w:szCs w:val="24"/>
        </w:rPr>
        <w:t>di riferimento non deve essere variato (ad esempio considerando anni precedenti o successivi</w:t>
      </w:r>
      <w:r w:rsidR="003F4178">
        <w:rPr>
          <w:rFonts w:ascii="Arial" w:hAnsi="Arial" w:cs="Arial"/>
          <w:sz w:val="24"/>
          <w:szCs w:val="24"/>
        </w:rPr>
        <w:t xml:space="preserve"> al 2000-2009</w:t>
      </w:r>
      <w:r w:rsidR="00291140">
        <w:rPr>
          <w:rFonts w:ascii="Arial" w:hAnsi="Arial" w:cs="Arial"/>
          <w:sz w:val="24"/>
          <w:szCs w:val="24"/>
        </w:rPr>
        <w:t xml:space="preserve">) a meno che non si dia una spiegazione adeguata. L’idea è di considerare eventuali policy che sono cambiate </w:t>
      </w:r>
      <w:r w:rsidR="00C25437">
        <w:rPr>
          <w:rFonts w:ascii="Arial" w:hAnsi="Arial" w:cs="Arial"/>
          <w:sz w:val="24"/>
          <w:szCs w:val="24"/>
        </w:rPr>
        <w:t xml:space="preserve">in modo rilevante nel periodo successivo o eventi particolarmente rilevanti. </w:t>
      </w:r>
    </w:p>
    <w:p w14:paraId="4E9889CE" w14:textId="76015533" w:rsidR="00C25437" w:rsidRDefault="00C25437" w:rsidP="006332E1">
      <w:pPr>
        <w:pStyle w:val="Corpotesto"/>
        <w:ind w:right="45"/>
        <w:jc w:val="both"/>
        <w:rPr>
          <w:rFonts w:ascii="Arial" w:hAnsi="Arial" w:cs="Arial"/>
          <w:sz w:val="24"/>
          <w:szCs w:val="24"/>
        </w:rPr>
      </w:pPr>
    </w:p>
    <w:p w14:paraId="2C2E80DC" w14:textId="472194E7" w:rsidR="00EC39F5" w:rsidRDefault="003F4178" w:rsidP="00076117">
      <w:pPr>
        <w:pStyle w:val="Corpotesto"/>
        <w:numPr>
          <w:ilvl w:val="0"/>
          <w:numId w:val="17"/>
        </w:numPr>
        <w:ind w:right="45"/>
        <w:jc w:val="both"/>
        <w:rPr>
          <w:rFonts w:ascii="Arial" w:hAnsi="Arial" w:cs="Arial"/>
          <w:sz w:val="24"/>
          <w:szCs w:val="24"/>
        </w:rPr>
      </w:pPr>
      <w:r>
        <w:rPr>
          <w:rFonts w:ascii="Arial" w:hAnsi="Arial" w:cs="Arial"/>
          <w:sz w:val="24"/>
          <w:szCs w:val="24"/>
        </w:rPr>
        <w:t xml:space="preserve">Nella </w:t>
      </w:r>
      <w:proofErr w:type="spellStart"/>
      <w:r>
        <w:rPr>
          <w:rFonts w:ascii="Arial" w:hAnsi="Arial" w:cs="Arial"/>
          <w:sz w:val="24"/>
          <w:szCs w:val="24"/>
        </w:rPr>
        <w:t>Guida</w:t>
      </w:r>
      <w:r w:rsidR="001E312A">
        <w:rPr>
          <w:rFonts w:ascii="Arial" w:hAnsi="Arial" w:cs="Arial"/>
          <w:sz w:val="24"/>
          <w:szCs w:val="24"/>
        </w:rPr>
        <w:t>nce</w:t>
      </w:r>
      <w:proofErr w:type="spellEnd"/>
      <w:r w:rsidR="001E312A">
        <w:rPr>
          <w:rFonts w:ascii="Arial" w:hAnsi="Arial" w:cs="Arial"/>
          <w:sz w:val="24"/>
          <w:szCs w:val="24"/>
        </w:rPr>
        <w:t xml:space="preserve"> </w:t>
      </w:r>
      <w:r w:rsidR="00070633">
        <w:rPr>
          <w:rFonts w:ascii="Arial" w:hAnsi="Arial" w:cs="Arial"/>
          <w:sz w:val="24"/>
          <w:szCs w:val="24"/>
        </w:rPr>
        <w:t xml:space="preserve">sono descritti </w:t>
      </w:r>
      <w:r w:rsidR="00236C01">
        <w:rPr>
          <w:rFonts w:ascii="Arial" w:hAnsi="Arial" w:cs="Arial"/>
          <w:sz w:val="24"/>
          <w:szCs w:val="24"/>
        </w:rPr>
        <w:t xml:space="preserve">anche il metodo di calcolo per valutare lo </w:t>
      </w:r>
      <w:r w:rsidR="004B3921">
        <w:rPr>
          <w:rFonts w:ascii="Arial" w:hAnsi="Arial" w:cs="Arial"/>
          <w:sz w:val="24"/>
          <w:szCs w:val="24"/>
        </w:rPr>
        <w:t xml:space="preserve">sviluppo delle foreste, seguendo le linee guida IPCC e ponendo attenzione a non utilizzare un sistema che sia specifico solo per il singolo SM, in quanto si vuole privilegiare la confrontabilità internazionale. </w:t>
      </w:r>
      <w:r w:rsidR="00990B93">
        <w:rPr>
          <w:rFonts w:ascii="Arial" w:hAnsi="Arial" w:cs="Arial"/>
          <w:sz w:val="24"/>
          <w:szCs w:val="24"/>
        </w:rPr>
        <w:t>A pagina 69 viene fornito un elenco non esaustivo de</w:t>
      </w:r>
      <w:r w:rsidR="00043DBB">
        <w:rPr>
          <w:rFonts w:ascii="Arial" w:hAnsi="Arial" w:cs="Arial"/>
          <w:sz w:val="24"/>
          <w:szCs w:val="24"/>
        </w:rPr>
        <w:t>i</w:t>
      </w:r>
      <w:r w:rsidR="00990B93">
        <w:rPr>
          <w:rFonts w:ascii="Arial" w:hAnsi="Arial" w:cs="Arial"/>
          <w:sz w:val="24"/>
          <w:szCs w:val="24"/>
        </w:rPr>
        <w:t xml:space="preserve"> modelli possibili</w:t>
      </w:r>
      <w:r w:rsidR="009A2DDA">
        <w:rPr>
          <w:rFonts w:ascii="Arial" w:hAnsi="Arial" w:cs="Arial"/>
          <w:sz w:val="24"/>
          <w:szCs w:val="24"/>
        </w:rPr>
        <w:t xml:space="preserve"> e tra </w:t>
      </w:r>
      <w:r w:rsidR="00EC39F5">
        <w:rPr>
          <w:rFonts w:ascii="Arial" w:hAnsi="Arial" w:cs="Arial"/>
          <w:sz w:val="24"/>
          <w:szCs w:val="24"/>
        </w:rPr>
        <w:t xml:space="preserve">i modelli considerati </w:t>
      </w:r>
      <w:r w:rsidR="00E01BDB">
        <w:rPr>
          <w:rFonts w:ascii="Arial" w:hAnsi="Arial" w:cs="Arial"/>
          <w:sz w:val="24"/>
          <w:szCs w:val="24"/>
        </w:rPr>
        <w:t xml:space="preserve">per il processamento dei dati sulle foreste </w:t>
      </w:r>
      <w:r w:rsidR="00A00D2F">
        <w:rPr>
          <w:rFonts w:ascii="Arial" w:hAnsi="Arial" w:cs="Arial"/>
          <w:sz w:val="24"/>
          <w:szCs w:val="24"/>
        </w:rPr>
        <w:t>finalizzato al calcolo dei FRL c’è anche quello scelto per l’Azione C1:</w:t>
      </w:r>
    </w:p>
    <w:p w14:paraId="0101EA5E" w14:textId="058E93F6" w:rsidR="00C25437" w:rsidRPr="00A00D2F" w:rsidRDefault="00EC39F5" w:rsidP="00C3340C">
      <w:pPr>
        <w:pStyle w:val="Corpotesto"/>
        <w:ind w:left="709" w:right="45"/>
        <w:jc w:val="both"/>
        <w:rPr>
          <w:rFonts w:ascii="Arial" w:hAnsi="Arial" w:cs="Arial"/>
          <w:sz w:val="24"/>
          <w:szCs w:val="24"/>
          <w:lang w:val="en-GB"/>
        </w:rPr>
      </w:pPr>
      <w:r w:rsidRPr="00A00D2F">
        <w:rPr>
          <w:rFonts w:ascii="Arial" w:hAnsi="Arial" w:cs="Arial"/>
          <w:sz w:val="24"/>
          <w:szCs w:val="24"/>
          <w:lang w:val="en-GB"/>
        </w:rPr>
        <w:t>CBM-CFS3 - Carbon Budget Model of the Canadian Forest Sector (Pilli et al. 2013)</w:t>
      </w:r>
      <w:r w:rsidR="00A00D2F" w:rsidRPr="00A00D2F">
        <w:rPr>
          <w:rFonts w:ascii="Arial" w:hAnsi="Arial" w:cs="Arial"/>
          <w:sz w:val="24"/>
          <w:szCs w:val="24"/>
          <w:lang w:val="en-GB"/>
        </w:rPr>
        <w:t xml:space="preserve"> </w:t>
      </w:r>
      <w:r w:rsidRPr="00A00D2F">
        <w:rPr>
          <w:rFonts w:ascii="Arial" w:hAnsi="Arial" w:cs="Arial"/>
          <w:sz w:val="24"/>
          <w:szCs w:val="24"/>
          <w:lang w:val="en-GB"/>
        </w:rPr>
        <w:t>http://www.nrcan.gc.ca/forests/climate-change/carbon-accounting/13107</w:t>
      </w:r>
    </w:p>
    <w:p w14:paraId="4AEB99B7" w14:textId="49CEEBC7" w:rsidR="00CD5A3A" w:rsidRDefault="00CD5A3A" w:rsidP="006332E1">
      <w:pPr>
        <w:pStyle w:val="Corpotesto"/>
        <w:ind w:right="45"/>
        <w:jc w:val="both"/>
        <w:rPr>
          <w:rFonts w:ascii="Arial" w:hAnsi="Arial" w:cs="Arial"/>
          <w:sz w:val="24"/>
          <w:szCs w:val="24"/>
          <w:lang w:val="en-GB"/>
        </w:rPr>
      </w:pPr>
    </w:p>
    <w:p w14:paraId="22381FF7" w14:textId="613740A2" w:rsidR="00A00D2F" w:rsidRDefault="009A2DDA" w:rsidP="00076117">
      <w:pPr>
        <w:pStyle w:val="Corpotesto"/>
        <w:numPr>
          <w:ilvl w:val="0"/>
          <w:numId w:val="17"/>
        </w:numPr>
        <w:ind w:right="45"/>
        <w:jc w:val="both"/>
        <w:rPr>
          <w:rFonts w:ascii="Arial" w:hAnsi="Arial" w:cs="Arial"/>
          <w:sz w:val="24"/>
          <w:szCs w:val="24"/>
        </w:rPr>
      </w:pPr>
      <w:r>
        <w:rPr>
          <w:rFonts w:ascii="Arial" w:hAnsi="Arial" w:cs="Arial"/>
          <w:sz w:val="24"/>
          <w:szCs w:val="24"/>
        </w:rPr>
        <w:t>Si chiarisce, infine, che n</w:t>
      </w:r>
      <w:r w:rsidR="00440AD3">
        <w:rPr>
          <w:rFonts w:ascii="Arial" w:hAnsi="Arial" w:cs="Arial"/>
          <w:sz w:val="24"/>
          <w:szCs w:val="24"/>
        </w:rPr>
        <w:t>elle stime dei dati sui gas GHG è</w:t>
      </w:r>
      <w:r w:rsidR="007977E6" w:rsidRPr="00402F80">
        <w:rPr>
          <w:rFonts w:ascii="Arial" w:hAnsi="Arial" w:cs="Arial"/>
          <w:sz w:val="24"/>
          <w:szCs w:val="24"/>
        </w:rPr>
        <w:t xml:space="preserve"> assai preferibile </w:t>
      </w:r>
      <w:r w:rsidR="00402F80" w:rsidRPr="00402F80">
        <w:rPr>
          <w:rFonts w:ascii="Arial" w:hAnsi="Arial" w:cs="Arial"/>
          <w:sz w:val="24"/>
          <w:szCs w:val="24"/>
        </w:rPr>
        <w:t>riferirsi a</w:t>
      </w:r>
      <w:r w:rsidR="00402F80">
        <w:rPr>
          <w:rFonts w:ascii="Arial" w:hAnsi="Arial" w:cs="Arial"/>
          <w:sz w:val="24"/>
          <w:szCs w:val="24"/>
        </w:rPr>
        <w:t>i dati fattuali</w:t>
      </w:r>
      <w:r w:rsidR="00001AA8">
        <w:rPr>
          <w:rFonts w:ascii="Arial" w:hAnsi="Arial" w:cs="Arial"/>
          <w:sz w:val="24"/>
          <w:szCs w:val="24"/>
        </w:rPr>
        <w:t xml:space="preserve"> durante </w:t>
      </w:r>
      <w:r w:rsidR="00680AB5">
        <w:rPr>
          <w:rFonts w:ascii="Arial" w:hAnsi="Arial" w:cs="Arial"/>
          <w:sz w:val="24"/>
          <w:szCs w:val="24"/>
        </w:rPr>
        <w:t xml:space="preserve">l’RP o ai dati effettivi del periodo </w:t>
      </w:r>
      <w:r w:rsidR="0093493A">
        <w:rPr>
          <w:rFonts w:ascii="Arial" w:hAnsi="Arial" w:cs="Arial"/>
          <w:sz w:val="24"/>
          <w:szCs w:val="24"/>
        </w:rPr>
        <w:t>200</w:t>
      </w:r>
      <w:r w:rsidR="000C1195">
        <w:rPr>
          <w:rFonts w:ascii="Arial" w:hAnsi="Arial" w:cs="Arial"/>
          <w:sz w:val="24"/>
          <w:szCs w:val="24"/>
        </w:rPr>
        <w:t>0</w:t>
      </w:r>
      <w:r w:rsidR="0093493A">
        <w:rPr>
          <w:rFonts w:ascii="Arial" w:hAnsi="Arial" w:cs="Arial"/>
          <w:sz w:val="24"/>
          <w:szCs w:val="24"/>
        </w:rPr>
        <w:t xml:space="preserve">-09 </w:t>
      </w:r>
      <w:r w:rsidR="000C1195">
        <w:rPr>
          <w:rFonts w:ascii="Arial" w:hAnsi="Arial" w:cs="Arial"/>
          <w:sz w:val="24"/>
          <w:szCs w:val="24"/>
        </w:rPr>
        <w:t xml:space="preserve">ma si esclude </w:t>
      </w:r>
      <w:r w:rsidR="0093493A">
        <w:rPr>
          <w:rFonts w:ascii="Arial" w:hAnsi="Arial" w:cs="Arial"/>
          <w:sz w:val="24"/>
          <w:szCs w:val="24"/>
        </w:rPr>
        <w:t xml:space="preserve">l’utilizzo di </w:t>
      </w:r>
      <w:r w:rsidR="00DF79C2">
        <w:rPr>
          <w:rFonts w:ascii="Arial" w:hAnsi="Arial" w:cs="Arial"/>
          <w:sz w:val="24"/>
          <w:szCs w:val="24"/>
        </w:rPr>
        <w:t>pratiche di gestione basate s</w:t>
      </w:r>
      <w:r w:rsidR="00255370">
        <w:rPr>
          <w:rFonts w:ascii="Arial" w:hAnsi="Arial" w:cs="Arial"/>
          <w:sz w:val="24"/>
          <w:szCs w:val="24"/>
        </w:rPr>
        <w:t>olo</w:t>
      </w:r>
      <w:r w:rsidR="00DF79C2">
        <w:rPr>
          <w:rFonts w:ascii="Arial" w:hAnsi="Arial" w:cs="Arial"/>
          <w:sz w:val="24"/>
          <w:szCs w:val="24"/>
        </w:rPr>
        <w:t xml:space="preserve"> modelli</w:t>
      </w:r>
      <w:r w:rsidR="00255370">
        <w:rPr>
          <w:rFonts w:ascii="Arial" w:hAnsi="Arial" w:cs="Arial"/>
          <w:sz w:val="24"/>
          <w:szCs w:val="24"/>
        </w:rPr>
        <w:t xml:space="preserve"> e non su dati primari</w:t>
      </w:r>
      <w:r w:rsidR="00DF79C2">
        <w:rPr>
          <w:rFonts w:ascii="Arial" w:hAnsi="Arial" w:cs="Arial"/>
          <w:sz w:val="24"/>
          <w:szCs w:val="24"/>
        </w:rPr>
        <w:t xml:space="preserve">. </w:t>
      </w:r>
      <w:r w:rsidR="00666681">
        <w:rPr>
          <w:rFonts w:ascii="Arial" w:hAnsi="Arial" w:cs="Arial"/>
          <w:sz w:val="24"/>
          <w:szCs w:val="24"/>
        </w:rPr>
        <w:t xml:space="preserve">In pratica </w:t>
      </w:r>
      <w:r w:rsidR="0095454E">
        <w:rPr>
          <w:rFonts w:ascii="Arial" w:hAnsi="Arial" w:cs="Arial"/>
          <w:sz w:val="24"/>
          <w:szCs w:val="24"/>
        </w:rPr>
        <w:t xml:space="preserve">non sono consentiti metodi di stima di tipo </w:t>
      </w:r>
      <w:proofErr w:type="spellStart"/>
      <w:r w:rsidR="0095454E">
        <w:rPr>
          <w:rFonts w:ascii="Arial" w:hAnsi="Arial" w:cs="Arial"/>
          <w:sz w:val="24"/>
          <w:szCs w:val="24"/>
        </w:rPr>
        <w:t>tier</w:t>
      </w:r>
      <w:proofErr w:type="spellEnd"/>
      <w:r w:rsidR="0095454E">
        <w:rPr>
          <w:rFonts w:ascii="Arial" w:hAnsi="Arial" w:cs="Arial"/>
          <w:sz w:val="24"/>
          <w:szCs w:val="24"/>
        </w:rPr>
        <w:t xml:space="preserve"> I secondo IPCC, ma devono essere perlomeno </w:t>
      </w:r>
      <w:proofErr w:type="spellStart"/>
      <w:r w:rsidR="0095454E">
        <w:rPr>
          <w:rFonts w:ascii="Arial" w:hAnsi="Arial" w:cs="Arial"/>
          <w:sz w:val="24"/>
          <w:szCs w:val="24"/>
        </w:rPr>
        <w:t>tier</w:t>
      </w:r>
      <w:proofErr w:type="spellEnd"/>
      <w:r w:rsidR="0095454E">
        <w:rPr>
          <w:rFonts w:ascii="Arial" w:hAnsi="Arial" w:cs="Arial"/>
          <w:sz w:val="24"/>
          <w:szCs w:val="24"/>
        </w:rPr>
        <w:t xml:space="preserve"> II o</w:t>
      </w:r>
      <w:r w:rsidR="00E17790">
        <w:rPr>
          <w:rFonts w:ascii="Arial" w:hAnsi="Arial" w:cs="Arial"/>
          <w:sz w:val="24"/>
          <w:szCs w:val="24"/>
        </w:rPr>
        <w:t>, preferibilmente,</w:t>
      </w:r>
      <w:r w:rsidR="0095454E">
        <w:rPr>
          <w:rFonts w:ascii="Arial" w:hAnsi="Arial" w:cs="Arial"/>
          <w:sz w:val="24"/>
          <w:szCs w:val="24"/>
        </w:rPr>
        <w:t xml:space="preserve"> </w:t>
      </w:r>
      <w:proofErr w:type="spellStart"/>
      <w:r w:rsidR="0095454E">
        <w:rPr>
          <w:rFonts w:ascii="Arial" w:hAnsi="Arial" w:cs="Arial"/>
          <w:sz w:val="24"/>
          <w:szCs w:val="24"/>
        </w:rPr>
        <w:t>tier</w:t>
      </w:r>
      <w:proofErr w:type="spellEnd"/>
      <w:r w:rsidR="0095454E">
        <w:rPr>
          <w:rFonts w:ascii="Arial" w:hAnsi="Arial" w:cs="Arial"/>
          <w:sz w:val="24"/>
          <w:szCs w:val="24"/>
        </w:rPr>
        <w:t xml:space="preserve"> III</w:t>
      </w:r>
      <w:r w:rsidR="003039AE">
        <w:rPr>
          <w:rFonts w:ascii="Arial" w:hAnsi="Arial" w:cs="Arial"/>
          <w:sz w:val="24"/>
          <w:szCs w:val="24"/>
        </w:rPr>
        <w:t xml:space="preserve"> che fanno direttamente riferimento agli inventari forestali nazionali (NFI – National </w:t>
      </w:r>
      <w:proofErr w:type="spellStart"/>
      <w:r w:rsidR="003039AE">
        <w:rPr>
          <w:rFonts w:ascii="Arial" w:hAnsi="Arial" w:cs="Arial"/>
          <w:sz w:val="24"/>
          <w:szCs w:val="24"/>
        </w:rPr>
        <w:t>Forest</w:t>
      </w:r>
      <w:proofErr w:type="spellEnd"/>
      <w:r w:rsidR="003039AE">
        <w:rPr>
          <w:rFonts w:ascii="Arial" w:hAnsi="Arial" w:cs="Arial"/>
          <w:sz w:val="24"/>
          <w:szCs w:val="24"/>
        </w:rPr>
        <w:t xml:space="preserve"> Invent</w:t>
      </w:r>
      <w:r w:rsidR="008155FD">
        <w:rPr>
          <w:rFonts w:ascii="Arial" w:hAnsi="Arial" w:cs="Arial"/>
          <w:sz w:val="24"/>
          <w:szCs w:val="24"/>
        </w:rPr>
        <w:t>ory)</w:t>
      </w:r>
      <w:r w:rsidR="0095454E">
        <w:rPr>
          <w:rFonts w:ascii="Arial" w:hAnsi="Arial" w:cs="Arial"/>
          <w:sz w:val="24"/>
          <w:szCs w:val="24"/>
        </w:rPr>
        <w:t xml:space="preserve">. </w:t>
      </w:r>
    </w:p>
    <w:p w14:paraId="32B70496" w14:textId="77777777" w:rsidR="00255370" w:rsidRDefault="00255370" w:rsidP="006332E1">
      <w:pPr>
        <w:pStyle w:val="Corpotesto"/>
        <w:ind w:right="45"/>
        <w:jc w:val="both"/>
        <w:rPr>
          <w:rFonts w:ascii="Arial" w:hAnsi="Arial" w:cs="Arial"/>
          <w:sz w:val="24"/>
          <w:szCs w:val="24"/>
        </w:rPr>
      </w:pPr>
    </w:p>
    <w:p w14:paraId="01F687A4" w14:textId="0607808C" w:rsidR="00DF79C2" w:rsidRDefault="00324A3D" w:rsidP="00AD4458">
      <w:pPr>
        <w:pStyle w:val="Corpotesto"/>
        <w:ind w:right="45" w:firstLine="567"/>
        <w:jc w:val="both"/>
        <w:rPr>
          <w:rFonts w:ascii="Arial" w:hAnsi="Arial" w:cs="Arial"/>
          <w:sz w:val="24"/>
          <w:szCs w:val="24"/>
        </w:rPr>
      </w:pPr>
      <w:r>
        <w:rPr>
          <w:rFonts w:ascii="Arial" w:hAnsi="Arial" w:cs="Arial"/>
          <w:sz w:val="24"/>
          <w:szCs w:val="24"/>
        </w:rPr>
        <w:t xml:space="preserve">Nel Progetto CO2PEF&amp;PES l’approccio </w:t>
      </w:r>
      <w:r w:rsidR="00D95F08">
        <w:rPr>
          <w:rFonts w:ascii="Arial" w:hAnsi="Arial" w:cs="Arial"/>
          <w:sz w:val="24"/>
          <w:szCs w:val="24"/>
        </w:rPr>
        <w:t xml:space="preserve">seguito per la valutazione dei servizi ecosistemi di regolazione è analogo a quello </w:t>
      </w:r>
      <w:r w:rsidR="004625F7">
        <w:rPr>
          <w:rFonts w:ascii="Arial" w:hAnsi="Arial" w:cs="Arial"/>
          <w:sz w:val="24"/>
          <w:szCs w:val="24"/>
        </w:rPr>
        <w:t xml:space="preserve">utilizzato nella </w:t>
      </w:r>
      <w:proofErr w:type="spellStart"/>
      <w:r w:rsidR="004625F7">
        <w:rPr>
          <w:rFonts w:ascii="Arial" w:hAnsi="Arial" w:cs="Arial"/>
          <w:sz w:val="24"/>
          <w:szCs w:val="24"/>
        </w:rPr>
        <w:t>Guidance</w:t>
      </w:r>
      <w:proofErr w:type="spellEnd"/>
      <w:r w:rsidR="004625F7">
        <w:rPr>
          <w:rFonts w:ascii="Arial" w:hAnsi="Arial" w:cs="Arial"/>
          <w:sz w:val="24"/>
          <w:szCs w:val="24"/>
        </w:rPr>
        <w:t xml:space="preserve">, </w:t>
      </w:r>
      <w:r w:rsidR="007F15CF">
        <w:rPr>
          <w:rFonts w:ascii="Arial" w:hAnsi="Arial" w:cs="Arial"/>
          <w:sz w:val="24"/>
          <w:szCs w:val="24"/>
        </w:rPr>
        <w:t>ma con alcune differenze:</w:t>
      </w:r>
    </w:p>
    <w:p w14:paraId="68DB38F9" w14:textId="3D25988D" w:rsidR="007F15CF" w:rsidRDefault="007F15CF" w:rsidP="006332E1">
      <w:pPr>
        <w:pStyle w:val="Corpotesto"/>
        <w:ind w:right="45"/>
        <w:jc w:val="both"/>
        <w:rPr>
          <w:rFonts w:ascii="Arial" w:hAnsi="Arial" w:cs="Arial"/>
          <w:sz w:val="24"/>
          <w:szCs w:val="24"/>
        </w:rPr>
      </w:pPr>
    </w:p>
    <w:p w14:paraId="665A28DF" w14:textId="7878A271" w:rsidR="007F15CF" w:rsidRDefault="007F15CF" w:rsidP="00076117">
      <w:pPr>
        <w:pStyle w:val="Corpotesto"/>
        <w:numPr>
          <w:ilvl w:val="0"/>
          <w:numId w:val="18"/>
        </w:numPr>
        <w:ind w:right="45"/>
        <w:jc w:val="both"/>
        <w:rPr>
          <w:rFonts w:ascii="Arial" w:hAnsi="Arial" w:cs="Arial"/>
          <w:sz w:val="24"/>
          <w:szCs w:val="24"/>
        </w:rPr>
      </w:pPr>
      <w:r>
        <w:rPr>
          <w:rFonts w:ascii="Arial" w:hAnsi="Arial" w:cs="Arial"/>
          <w:sz w:val="24"/>
          <w:szCs w:val="24"/>
        </w:rPr>
        <w:t xml:space="preserve">nella definizione del BAU si utilizzano </w:t>
      </w:r>
      <w:r w:rsidR="008F285D">
        <w:rPr>
          <w:rFonts w:ascii="Arial" w:hAnsi="Arial" w:cs="Arial"/>
          <w:sz w:val="24"/>
          <w:szCs w:val="24"/>
        </w:rPr>
        <w:t>le pratiche di gestione forestale sostenibile basate sui piani di assestamento locali</w:t>
      </w:r>
      <w:r w:rsidR="0097730A">
        <w:rPr>
          <w:rFonts w:ascii="Arial" w:hAnsi="Arial" w:cs="Arial"/>
          <w:sz w:val="24"/>
          <w:szCs w:val="24"/>
        </w:rPr>
        <w:t>; tuttavia</w:t>
      </w:r>
      <w:r w:rsidR="0013622A">
        <w:rPr>
          <w:rFonts w:ascii="Arial" w:hAnsi="Arial" w:cs="Arial"/>
          <w:sz w:val="24"/>
          <w:szCs w:val="24"/>
        </w:rPr>
        <w:t>,</w:t>
      </w:r>
      <w:r w:rsidR="0097730A">
        <w:rPr>
          <w:rFonts w:ascii="Arial" w:hAnsi="Arial" w:cs="Arial"/>
          <w:sz w:val="24"/>
          <w:szCs w:val="24"/>
        </w:rPr>
        <w:t xml:space="preserve"> non si esclude di poter considerare anche il FRL nazionale</w:t>
      </w:r>
      <w:r w:rsidR="0013622A">
        <w:rPr>
          <w:rFonts w:ascii="Arial" w:hAnsi="Arial" w:cs="Arial"/>
          <w:sz w:val="24"/>
          <w:szCs w:val="24"/>
        </w:rPr>
        <w:t xml:space="preserve"> applicato su base locale;</w:t>
      </w:r>
      <w:r w:rsidR="00986297">
        <w:rPr>
          <w:rFonts w:ascii="Arial" w:hAnsi="Arial" w:cs="Arial"/>
          <w:sz w:val="24"/>
          <w:szCs w:val="24"/>
        </w:rPr>
        <w:t xml:space="preserve"> </w:t>
      </w:r>
      <w:r w:rsidR="0039047D">
        <w:rPr>
          <w:rFonts w:ascii="Arial" w:hAnsi="Arial" w:cs="Arial"/>
          <w:sz w:val="24"/>
          <w:szCs w:val="24"/>
        </w:rPr>
        <w:t xml:space="preserve">nella prima redazione del NFAP, il FRL è stato calcolato </w:t>
      </w:r>
      <w:r w:rsidR="004B517C">
        <w:rPr>
          <w:rFonts w:ascii="Arial" w:hAnsi="Arial" w:cs="Arial"/>
          <w:sz w:val="24"/>
          <w:szCs w:val="24"/>
        </w:rPr>
        <w:t>utilizzando come base di riferimento le superfici delle Regioni, ma nella prossima versione si prevede si passare</w:t>
      </w:r>
      <w:r w:rsidR="004B5FBD">
        <w:rPr>
          <w:rFonts w:ascii="Arial" w:hAnsi="Arial" w:cs="Arial"/>
          <w:sz w:val="24"/>
          <w:szCs w:val="24"/>
        </w:rPr>
        <w:t xml:space="preserve"> ad una base provinciale usando </w:t>
      </w:r>
      <w:r w:rsidR="0054003F">
        <w:rPr>
          <w:rFonts w:ascii="Arial" w:hAnsi="Arial" w:cs="Arial"/>
          <w:sz w:val="24"/>
          <w:szCs w:val="24"/>
        </w:rPr>
        <w:t>un grigliato EMEP 01*01 UNECE</w:t>
      </w:r>
      <w:r w:rsidR="008F4DE7">
        <w:rPr>
          <w:rFonts w:ascii="Arial" w:hAnsi="Arial" w:cs="Arial"/>
          <w:sz w:val="24"/>
          <w:szCs w:val="24"/>
        </w:rPr>
        <w:t>: quindi il passaggio ad un FRL locale non è particolarmente complesso;</w:t>
      </w:r>
    </w:p>
    <w:p w14:paraId="3119A200" w14:textId="3F68AD2C" w:rsidR="0013622A" w:rsidRDefault="0013622A" w:rsidP="006332E1">
      <w:pPr>
        <w:pStyle w:val="Corpotesto"/>
        <w:ind w:right="45"/>
        <w:jc w:val="both"/>
        <w:rPr>
          <w:rFonts w:ascii="Arial" w:hAnsi="Arial" w:cs="Arial"/>
          <w:sz w:val="24"/>
          <w:szCs w:val="24"/>
        </w:rPr>
      </w:pPr>
    </w:p>
    <w:p w14:paraId="3A13E9B7" w14:textId="77777777" w:rsidR="00481E08" w:rsidRDefault="0013622A" w:rsidP="00076117">
      <w:pPr>
        <w:pStyle w:val="Corpotesto"/>
        <w:numPr>
          <w:ilvl w:val="0"/>
          <w:numId w:val="18"/>
        </w:numPr>
        <w:ind w:right="45"/>
        <w:jc w:val="both"/>
        <w:rPr>
          <w:rFonts w:ascii="Arial" w:hAnsi="Arial" w:cs="Arial"/>
          <w:sz w:val="24"/>
          <w:szCs w:val="24"/>
        </w:rPr>
      </w:pPr>
      <w:r>
        <w:rPr>
          <w:rFonts w:ascii="Arial" w:hAnsi="Arial" w:cs="Arial"/>
          <w:sz w:val="24"/>
          <w:szCs w:val="24"/>
        </w:rPr>
        <w:t xml:space="preserve">l’analisi degli eventi </w:t>
      </w:r>
      <w:r w:rsidR="008D5883">
        <w:rPr>
          <w:rFonts w:ascii="Arial" w:hAnsi="Arial" w:cs="Arial"/>
          <w:sz w:val="24"/>
          <w:szCs w:val="24"/>
        </w:rPr>
        <w:t xml:space="preserve">naturali viene </w:t>
      </w:r>
      <w:r w:rsidR="00430C76">
        <w:rPr>
          <w:rFonts w:ascii="Arial" w:hAnsi="Arial" w:cs="Arial"/>
          <w:sz w:val="24"/>
          <w:szCs w:val="24"/>
        </w:rPr>
        <w:t xml:space="preserve">valutata con maggiore attenzione in quanto in Italia vi sono stati eventi estremi di natura </w:t>
      </w:r>
      <w:r w:rsidR="00B34842">
        <w:rPr>
          <w:rFonts w:ascii="Arial" w:hAnsi="Arial" w:cs="Arial"/>
          <w:sz w:val="24"/>
          <w:szCs w:val="24"/>
        </w:rPr>
        <w:t xml:space="preserve">molto rilevante, soprattutto incendi nelle aree del Sud Italia e schianti </w:t>
      </w:r>
      <w:r w:rsidR="00F75253">
        <w:rPr>
          <w:rFonts w:ascii="Arial" w:hAnsi="Arial" w:cs="Arial"/>
          <w:sz w:val="24"/>
          <w:szCs w:val="24"/>
        </w:rPr>
        <w:t>da eventi metereologici estremi nel Nord Est</w:t>
      </w:r>
      <w:r w:rsidR="00481E08">
        <w:rPr>
          <w:rFonts w:ascii="Arial" w:hAnsi="Arial" w:cs="Arial"/>
          <w:sz w:val="24"/>
          <w:szCs w:val="24"/>
        </w:rPr>
        <w:t>;</w:t>
      </w:r>
    </w:p>
    <w:p w14:paraId="28F9F0F1" w14:textId="77777777" w:rsidR="00481E08" w:rsidRDefault="00481E08" w:rsidP="00293D1D">
      <w:pPr>
        <w:pStyle w:val="Paragrafoelenco"/>
        <w:rPr>
          <w:rFonts w:ascii="Arial" w:hAnsi="Arial" w:cs="Arial"/>
          <w:sz w:val="24"/>
          <w:szCs w:val="24"/>
        </w:rPr>
      </w:pPr>
    </w:p>
    <w:p w14:paraId="2DC83C4A" w14:textId="5553B439" w:rsidR="0013622A" w:rsidRDefault="00481E08" w:rsidP="00076117">
      <w:pPr>
        <w:pStyle w:val="Corpotesto"/>
        <w:numPr>
          <w:ilvl w:val="0"/>
          <w:numId w:val="18"/>
        </w:numPr>
        <w:ind w:right="45"/>
        <w:jc w:val="both"/>
        <w:rPr>
          <w:rFonts w:ascii="Arial" w:hAnsi="Arial" w:cs="Arial"/>
          <w:sz w:val="24"/>
          <w:szCs w:val="24"/>
        </w:rPr>
      </w:pPr>
      <w:r>
        <w:rPr>
          <w:rFonts w:ascii="Arial" w:hAnsi="Arial" w:cs="Arial"/>
          <w:sz w:val="24"/>
          <w:szCs w:val="24"/>
        </w:rPr>
        <w:t>infine</w:t>
      </w:r>
      <w:r w:rsidR="00EF61AC">
        <w:rPr>
          <w:rFonts w:ascii="Arial" w:hAnsi="Arial" w:cs="Arial"/>
          <w:sz w:val="24"/>
          <w:szCs w:val="24"/>
        </w:rPr>
        <w:t xml:space="preserve">, c’è un elemento critico di carattere metodologico: il FRL è un </w:t>
      </w:r>
      <w:r w:rsidR="0095083A">
        <w:rPr>
          <w:rFonts w:ascii="Arial" w:hAnsi="Arial" w:cs="Arial"/>
          <w:sz w:val="24"/>
          <w:szCs w:val="24"/>
        </w:rPr>
        <w:t xml:space="preserve">BAU </w:t>
      </w:r>
      <w:r w:rsidR="00810918">
        <w:rPr>
          <w:rFonts w:ascii="Arial" w:hAnsi="Arial" w:cs="Arial"/>
          <w:sz w:val="24"/>
          <w:szCs w:val="24"/>
        </w:rPr>
        <w:t>futuro</w:t>
      </w:r>
      <w:r w:rsidR="00E15F96">
        <w:rPr>
          <w:rFonts w:ascii="Arial" w:hAnsi="Arial" w:cs="Arial"/>
          <w:sz w:val="24"/>
          <w:szCs w:val="24"/>
        </w:rPr>
        <w:t>, mentre i BAU considerati per l’addizionalità fanno riferimento al passato o al presente</w:t>
      </w:r>
      <w:r w:rsidR="00C41E5C">
        <w:rPr>
          <w:rFonts w:ascii="Arial" w:hAnsi="Arial" w:cs="Arial"/>
          <w:sz w:val="24"/>
          <w:szCs w:val="24"/>
        </w:rPr>
        <w:t>, quando le attività di gestione forestale sono già note; ma</w:t>
      </w:r>
      <w:r w:rsidR="00874037">
        <w:rPr>
          <w:rFonts w:ascii="Arial" w:hAnsi="Arial" w:cs="Arial"/>
          <w:sz w:val="24"/>
          <w:szCs w:val="24"/>
        </w:rPr>
        <w:t xml:space="preserve"> se si assume un BAU futuro, si fanno ipotesi sulle attività di gestione forestale </w:t>
      </w:r>
      <w:r w:rsidR="0040402B">
        <w:rPr>
          <w:rFonts w:ascii="Arial" w:hAnsi="Arial" w:cs="Arial"/>
          <w:sz w:val="24"/>
          <w:szCs w:val="24"/>
        </w:rPr>
        <w:t>che non è detto che si verifichino</w:t>
      </w:r>
      <w:r w:rsidR="00EF6408">
        <w:rPr>
          <w:rFonts w:ascii="Arial" w:hAnsi="Arial" w:cs="Arial"/>
          <w:sz w:val="24"/>
          <w:szCs w:val="24"/>
        </w:rPr>
        <w:t>, creando un margine di indeterminatezza</w:t>
      </w:r>
      <w:r w:rsidR="00594D6B">
        <w:rPr>
          <w:rStyle w:val="Rimandonotaapidipagina"/>
          <w:rFonts w:ascii="Arial" w:hAnsi="Arial" w:cs="Arial"/>
          <w:sz w:val="24"/>
          <w:szCs w:val="24"/>
        </w:rPr>
        <w:footnoteReference w:id="51"/>
      </w:r>
      <w:r w:rsidR="00F75253">
        <w:rPr>
          <w:rFonts w:ascii="Arial" w:hAnsi="Arial" w:cs="Arial"/>
          <w:sz w:val="24"/>
          <w:szCs w:val="24"/>
        </w:rPr>
        <w:t xml:space="preserve">. </w:t>
      </w:r>
    </w:p>
    <w:p w14:paraId="6D2350D6" w14:textId="77777777" w:rsidR="0013622A" w:rsidRDefault="0013622A" w:rsidP="00AD4458">
      <w:pPr>
        <w:pStyle w:val="Corpotesto"/>
        <w:ind w:right="45" w:firstLine="567"/>
        <w:jc w:val="both"/>
        <w:rPr>
          <w:rFonts w:ascii="Arial" w:hAnsi="Arial" w:cs="Arial"/>
          <w:sz w:val="24"/>
          <w:szCs w:val="24"/>
        </w:rPr>
      </w:pPr>
    </w:p>
    <w:p w14:paraId="44C9657D" w14:textId="0E084E7E" w:rsidR="00506A09" w:rsidRDefault="00174D47" w:rsidP="00AD4458">
      <w:pPr>
        <w:pStyle w:val="Corpotesto"/>
        <w:ind w:right="45" w:firstLine="567"/>
        <w:jc w:val="both"/>
        <w:rPr>
          <w:rFonts w:ascii="Arial" w:hAnsi="Arial" w:cs="Arial"/>
          <w:sz w:val="24"/>
          <w:szCs w:val="24"/>
        </w:rPr>
      </w:pPr>
      <w:r>
        <w:rPr>
          <w:rFonts w:ascii="Arial" w:hAnsi="Arial" w:cs="Arial"/>
          <w:sz w:val="24"/>
          <w:szCs w:val="24"/>
        </w:rPr>
        <w:t>Nello sviluppo del progetto si valuterà internamente nello SC se utilizzare il BAU locale o quello determinato dal FRL. Vi sono vantaggi e svantaggi in questo approccio</w:t>
      </w:r>
      <w:r w:rsidR="00B5393A">
        <w:rPr>
          <w:rFonts w:ascii="Arial" w:hAnsi="Arial" w:cs="Arial"/>
          <w:sz w:val="24"/>
          <w:szCs w:val="24"/>
        </w:rPr>
        <w:t>. Un vantaggio innegabile</w:t>
      </w:r>
      <w:r w:rsidR="000A4FE9">
        <w:rPr>
          <w:rFonts w:ascii="Arial" w:hAnsi="Arial" w:cs="Arial"/>
          <w:sz w:val="24"/>
          <w:szCs w:val="24"/>
        </w:rPr>
        <w:t xml:space="preserve"> e piuttosto rilevante</w:t>
      </w:r>
      <w:r w:rsidR="00B5393A">
        <w:rPr>
          <w:rFonts w:ascii="Arial" w:hAnsi="Arial" w:cs="Arial"/>
          <w:sz w:val="24"/>
          <w:szCs w:val="24"/>
        </w:rPr>
        <w:t xml:space="preserve"> è che l</w:t>
      </w:r>
      <w:r w:rsidR="00506A09">
        <w:rPr>
          <w:rFonts w:ascii="Arial" w:hAnsi="Arial" w:cs="Arial"/>
          <w:sz w:val="24"/>
          <w:szCs w:val="24"/>
        </w:rPr>
        <w:t>’uso dei FRL</w:t>
      </w:r>
      <w:r w:rsidR="00B5393A">
        <w:rPr>
          <w:rFonts w:ascii="Arial" w:hAnsi="Arial" w:cs="Arial"/>
          <w:sz w:val="24"/>
          <w:szCs w:val="24"/>
        </w:rPr>
        <w:t xml:space="preserve"> in accordo con il NFAP</w:t>
      </w:r>
      <w:r w:rsidR="0028758B">
        <w:rPr>
          <w:rFonts w:ascii="Arial" w:hAnsi="Arial" w:cs="Arial"/>
          <w:sz w:val="24"/>
          <w:szCs w:val="24"/>
        </w:rPr>
        <w:t xml:space="preserve"> dell’Italia</w:t>
      </w:r>
      <w:r w:rsidR="00506A09">
        <w:rPr>
          <w:rFonts w:ascii="Arial" w:hAnsi="Arial" w:cs="Arial"/>
          <w:sz w:val="24"/>
          <w:szCs w:val="24"/>
        </w:rPr>
        <w:t>, rende il settore LULUCF</w:t>
      </w:r>
      <w:r w:rsidR="0028758B">
        <w:rPr>
          <w:rFonts w:ascii="Arial" w:hAnsi="Arial" w:cs="Arial"/>
          <w:sz w:val="24"/>
          <w:szCs w:val="24"/>
        </w:rPr>
        <w:t xml:space="preserve"> nelle tre aree pilota considerate</w:t>
      </w:r>
      <w:r w:rsidR="00506A09">
        <w:rPr>
          <w:rFonts w:ascii="Arial" w:hAnsi="Arial" w:cs="Arial"/>
          <w:sz w:val="24"/>
          <w:szCs w:val="24"/>
        </w:rPr>
        <w:t xml:space="preserve"> </w:t>
      </w:r>
      <w:r w:rsidR="00762545">
        <w:rPr>
          <w:rFonts w:ascii="Arial" w:hAnsi="Arial" w:cs="Arial"/>
          <w:sz w:val="24"/>
          <w:szCs w:val="24"/>
        </w:rPr>
        <w:t>comparabile</w:t>
      </w:r>
      <w:r w:rsidR="00506A09">
        <w:rPr>
          <w:rFonts w:ascii="Arial" w:hAnsi="Arial" w:cs="Arial"/>
          <w:sz w:val="24"/>
          <w:szCs w:val="24"/>
        </w:rPr>
        <w:t xml:space="preserve"> con altri settori in termini di contabilità dei gas GHG. Rende anche possibile la valutazione delle politiche e dei loro effetti. </w:t>
      </w:r>
    </w:p>
    <w:p w14:paraId="7EA22AAA" w14:textId="47B45117" w:rsidR="00762545" w:rsidRDefault="00762545" w:rsidP="00AD4458">
      <w:pPr>
        <w:pStyle w:val="Corpotesto"/>
        <w:ind w:right="45" w:firstLine="567"/>
        <w:jc w:val="both"/>
        <w:rPr>
          <w:rFonts w:ascii="Arial" w:hAnsi="Arial" w:cs="Arial"/>
          <w:sz w:val="24"/>
          <w:szCs w:val="24"/>
        </w:rPr>
      </w:pPr>
      <w:r>
        <w:rPr>
          <w:rFonts w:ascii="Arial" w:hAnsi="Arial" w:cs="Arial"/>
          <w:sz w:val="24"/>
          <w:szCs w:val="24"/>
        </w:rPr>
        <w:t xml:space="preserve">Per contro però </w:t>
      </w:r>
      <w:r w:rsidR="00657E9C">
        <w:rPr>
          <w:rFonts w:ascii="Arial" w:hAnsi="Arial" w:cs="Arial"/>
          <w:sz w:val="24"/>
          <w:szCs w:val="24"/>
        </w:rPr>
        <w:t xml:space="preserve">nel NFAP Italiano vi </w:t>
      </w:r>
      <w:r w:rsidR="001F4DDC">
        <w:rPr>
          <w:rFonts w:ascii="Arial" w:hAnsi="Arial" w:cs="Arial"/>
          <w:sz w:val="24"/>
          <w:szCs w:val="24"/>
        </w:rPr>
        <w:t>è un’assunzione forte</w:t>
      </w:r>
      <w:r w:rsidR="00657E9C">
        <w:rPr>
          <w:rFonts w:ascii="Arial" w:hAnsi="Arial" w:cs="Arial"/>
          <w:sz w:val="24"/>
          <w:szCs w:val="24"/>
        </w:rPr>
        <w:t xml:space="preserve"> che </w:t>
      </w:r>
      <w:r w:rsidR="001F4DDC">
        <w:rPr>
          <w:rFonts w:ascii="Arial" w:hAnsi="Arial" w:cs="Arial"/>
          <w:sz w:val="24"/>
          <w:szCs w:val="24"/>
        </w:rPr>
        <w:t>può</w:t>
      </w:r>
      <w:r w:rsidR="00A63F99">
        <w:rPr>
          <w:rFonts w:ascii="Arial" w:hAnsi="Arial" w:cs="Arial"/>
          <w:sz w:val="24"/>
          <w:szCs w:val="24"/>
        </w:rPr>
        <w:t xml:space="preserve"> rendere inopportuno l’uso del FRL come BAU</w:t>
      </w:r>
      <w:r w:rsidR="00915857">
        <w:rPr>
          <w:rFonts w:ascii="Arial" w:hAnsi="Arial" w:cs="Arial"/>
          <w:sz w:val="24"/>
          <w:szCs w:val="24"/>
        </w:rPr>
        <w:t>. Tal</w:t>
      </w:r>
      <w:r w:rsidR="001F4DDC">
        <w:rPr>
          <w:rFonts w:ascii="Arial" w:hAnsi="Arial" w:cs="Arial"/>
          <w:sz w:val="24"/>
          <w:szCs w:val="24"/>
        </w:rPr>
        <w:t xml:space="preserve">e assunzione riguarda il fatto che </w:t>
      </w:r>
      <w:r w:rsidR="001916F0">
        <w:rPr>
          <w:rFonts w:ascii="Arial" w:hAnsi="Arial" w:cs="Arial"/>
          <w:sz w:val="24"/>
          <w:szCs w:val="24"/>
        </w:rPr>
        <w:t xml:space="preserve">si è espressamente dichiarato che tutte le aree forestali italiane, pari a circa 12 milioni di </w:t>
      </w:r>
      <w:r w:rsidR="002A7460">
        <w:rPr>
          <w:rFonts w:ascii="Arial" w:hAnsi="Arial" w:cs="Arial"/>
          <w:sz w:val="24"/>
          <w:szCs w:val="24"/>
        </w:rPr>
        <w:t>h</w:t>
      </w:r>
      <w:r w:rsidR="001916F0">
        <w:rPr>
          <w:rFonts w:ascii="Arial" w:hAnsi="Arial" w:cs="Arial"/>
          <w:sz w:val="24"/>
          <w:szCs w:val="24"/>
        </w:rPr>
        <w:t xml:space="preserve">a, sono </w:t>
      </w:r>
      <w:r w:rsidR="00660407">
        <w:rPr>
          <w:rFonts w:ascii="Arial" w:hAnsi="Arial" w:cs="Arial"/>
          <w:sz w:val="24"/>
          <w:szCs w:val="24"/>
        </w:rPr>
        <w:t xml:space="preserve">sottoposte a gestione forestale. Per avere una gestione forestale è necessario avere perlomeno un Piano di Assestamento o un Piano di indirizzo ed è </w:t>
      </w:r>
      <w:r w:rsidR="00D92D0E">
        <w:rPr>
          <w:rFonts w:ascii="Arial" w:hAnsi="Arial" w:cs="Arial"/>
          <w:sz w:val="24"/>
          <w:szCs w:val="24"/>
        </w:rPr>
        <w:t>noto che una gran parte delle foreste italiane non hanno un Piano di questa natura</w:t>
      </w:r>
      <w:r w:rsidR="004032CA">
        <w:rPr>
          <w:rFonts w:ascii="Arial" w:hAnsi="Arial" w:cs="Arial"/>
          <w:sz w:val="24"/>
          <w:szCs w:val="24"/>
        </w:rPr>
        <w:t xml:space="preserve">. </w:t>
      </w:r>
    </w:p>
    <w:p w14:paraId="2D345175" w14:textId="17DED32C" w:rsidR="004032CA" w:rsidRPr="00AD4458" w:rsidRDefault="004032CA" w:rsidP="00AD4458">
      <w:pPr>
        <w:pStyle w:val="Corpotesto"/>
        <w:ind w:right="45" w:firstLine="567"/>
        <w:jc w:val="both"/>
        <w:rPr>
          <w:rFonts w:ascii="Arial" w:hAnsi="Arial" w:cs="Arial"/>
          <w:sz w:val="24"/>
          <w:szCs w:val="24"/>
        </w:rPr>
      </w:pPr>
      <w:r>
        <w:rPr>
          <w:rFonts w:ascii="Arial" w:hAnsi="Arial" w:cs="Arial"/>
          <w:sz w:val="24"/>
          <w:szCs w:val="24"/>
        </w:rPr>
        <w:t>Un secondo elemento da non trascurare è che ISPRA</w:t>
      </w:r>
      <w:r w:rsidR="00457226">
        <w:rPr>
          <w:rFonts w:ascii="Arial" w:hAnsi="Arial" w:cs="Arial"/>
          <w:sz w:val="24"/>
          <w:szCs w:val="24"/>
        </w:rPr>
        <w:t xml:space="preserve">, nella redazione del NFAP </w:t>
      </w:r>
      <w:r w:rsidR="00457226" w:rsidRPr="00AD4458">
        <w:rPr>
          <w:rFonts w:ascii="Arial" w:hAnsi="Arial" w:cs="Arial"/>
          <w:sz w:val="24"/>
          <w:szCs w:val="24"/>
        </w:rPr>
        <w:t>nazionale</w:t>
      </w:r>
      <w:r w:rsidR="004A2984" w:rsidRPr="00AD4458">
        <w:rPr>
          <w:rFonts w:ascii="Arial" w:hAnsi="Arial" w:cs="Arial"/>
          <w:sz w:val="24"/>
          <w:szCs w:val="24"/>
        </w:rPr>
        <w:t xml:space="preserve"> per l’Italia, ha utilizzato come modello di stima dello sviluppo forestale un modello differente da quello del presente progetto</w:t>
      </w:r>
      <w:r w:rsidR="00A37216" w:rsidRPr="00AD4458">
        <w:rPr>
          <w:rFonts w:ascii="Arial" w:hAnsi="Arial" w:cs="Arial"/>
          <w:sz w:val="24"/>
          <w:szCs w:val="24"/>
        </w:rPr>
        <w:t xml:space="preserve">: il </w:t>
      </w:r>
      <w:r w:rsidR="00A37216" w:rsidRPr="005E0B64">
        <w:rPr>
          <w:rFonts w:ascii="Arial" w:hAnsi="Arial" w:cs="Arial"/>
          <w:i/>
          <w:iCs/>
          <w:sz w:val="24"/>
          <w:szCs w:val="24"/>
        </w:rPr>
        <w:t xml:space="preserve">modello </w:t>
      </w:r>
      <w:r w:rsidR="00571393" w:rsidRPr="005E0B64">
        <w:rPr>
          <w:rFonts w:ascii="Arial" w:hAnsi="Arial" w:cs="Arial"/>
          <w:i/>
          <w:iCs/>
          <w:sz w:val="24"/>
          <w:szCs w:val="24"/>
        </w:rPr>
        <w:t>for-est</w:t>
      </w:r>
      <w:r w:rsidR="00337AC6" w:rsidRPr="00AD4458">
        <w:rPr>
          <w:rFonts w:ascii="Arial" w:hAnsi="Arial" w:cs="Arial"/>
          <w:sz w:val="24"/>
          <w:szCs w:val="24"/>
        </w:rPr>
        <w:t xml:space="preserve">. La scelta di tale modello, anche se non </w:t>
      </w:r>
      <w:r w:rsidR="008E6FF3" w:rsidRPr="00AD4458">
        <w:rPr>
          <w:rFonts w:ascii="Arial" w:hAnsi="Arial" w:cs="Arial"/>
          <w:sz w:val="24"/>
          <w:szCs w:val="24"/>
        </w:rPr>
        <w:t xml:space="preserve">incluso nell’elenco non esaustivo della </w:t>
      </w:r>
      <w:proofErr w:type="spellStart"/>
      <w:r w:rsidR="008E6FF3" w:rsidRPr="00AD4458">
        <w:rPr>
          <w:rFonts w:ascii="Arial" w:hAnsi="Arial" w:cs="Arial"/>
          <w:sz w:val="24"/>
          <w:szCs w:val="24"/>
        </w:rPr>
        <w:t>Guidance</w:t>
      </w:r>
      <w:proofErr w:type="spellEnd"/>
      <w:r w:rsidR="008E6FF3" w:rsidRPr="00AD4458">
        <w:rPr>
          <w:rFonts w:ascii="Arial" w:hAnsi="Arial" w:cs="Arial"/>
          <w:sz w:val="24"/>
          <w:szCs w:val="24"/>
        </w:rPr>
        <w:t xml:space="preserve">, è motivata dal fatto che tale modello era già stato utilizzato per la contabilità del settore LULUCF per Inventario Nazionale dei Gas GHG definito in accordo con il Regolamento 525/2013 e quindi </w:t>
      </w:r>
      <w:r w:rsidR="005540FD" w:rsidRPr="00AD4458">
        <w:rPr>
          <w:rFonts w:ascii="Arial" w:hAnsi="Arial" w:cs="Arial"/>
          <w:sz w:val="24"/>
          <w:szCs w:val="24"/>
        </w:rPr>
        <w:t xml:space="preserve">creava coerenza tra i due sistemi di contabilizzazione. </w:t>
      </w:r>
      <w:r w:rsidR="005138E0">
        <w:rPr>
          <w:rFonts w:ascii="Arial" w:hAnsi="Arial" w:cs="Arial"/>
          <w:sz w:val="24"/>
          <w:szCs w:val="24"/>
        </w:rPr>
        <w:t xml:space="preserve">Quest’ultimo problema comunque è facilmente superabile: consapevoli che ogni modello ha dei margini di errore inevitabili, </w:t>
      </w:r>
      <w:r w:rsidR="008F1D42">
        <w:rPr>
          <w:rFonts w:ascii="Arial" w:hAnsi="Arial" w:cs="Arial"/>
          <w:sz w:val="24"/>
          <w:szCs w:val="24"/>
        </w:rPr>
        <w:t xml:space="preserve">si può ipotizzare di fare la stima con entrambi i modelli e di prendere il punto medio del range di che viene a </w:t>
      </w:r>
      <w:r w:rsidR="003670AC">
        <w:rPr>
          <w:rFonts w:ascii="Arial" w:hAnsi="Arial" w:cs="Arial"/>
          <w:sz w:val="24"/>
          <w:szCs w:val="24"/>
        </w:rPr>
        <w:t xml:space="preserve">determinare. </w:t>
      </w:r>
    </w:p>
    <w:p w14:paraId="71CFD11D" w14:textId="276EE6DD" w:rsidR="005540FD" w:rsidRPr="00AD4458" w:rsidRDefault="005540FD" w:rsidP="00AD4458">
      <w:pPr>
        <w:pStyle w:val="Corpotesto"/>
        <w:ind w:right="45" w:firstLine="567"/>
        <w:jc w:val="both"/>
        <w:rPr>
          <w:rFonts w:ascii="Arial" w:hAnsi="Arial" w:cs="Arial"/>
          <w:sz w:val="24"/>
          <w:szCs w:val="24"/>
        </w:rPr>
      </w:pPr>
      <w:r w:rsidRPr="00AD4458">
        <w:rPr>
          <w:rFonts w:ascii="Arial" w:hAnsi="Arial" w:cs="Arial"/>
          <w:sz w:val="24"/>
          <w:szCs w:val="24"/>
        </w:rPr>
        <w:t xml:space="preserve">Una sintesi degli elementi riguardanti il NFAP dell’Italia è riportata nel </w:t>
      </w:r>
      <w:r w:rsidR="00AD4458" w:rsidRPr="00AD4458">
        <w:rPr>
          <w:rFonts w:ascii="Arial" w:hAnsi="Arial" w:cs="Arial"/>
          <w:sz w:val="24"/>
          <w:szCs w:val="24"/>
        </w:rPr>
        <w:t xml:space="preserve">prossimo paragrafo. </w:t>
      </w:r>
    </w:p>
    <w:p w14:paraId="316A47E6" w14:textId="77777777" w:rsidR="009A2DDA" w:rsidRDefault="009A2DDA" w:rsidP="006332E1">
      <w:pPr>
        <w:pStyle w:val="Corpotesto"/>
        <w:ind w:right="45"/>
        <w:jc w:val="both"/>
        <w:rPr>
          <w:rFonts w:ascii="Arial" w:hAnsi="Arial" w:cs="Arial"/>
          <w:sz w:val="24"/>
          <w:szCs w:val="24"/>
        </w:rPr>
      </w:pPr>
    </w:p>
    <w:p w14:paraId="4239D8F9" w14:textId="3B601F11" w:rsidR="00DF79C2" w:rsidRDefault="00DF79C2" w:rsidP="006332E1">
      <w:pPr>
        <w:pStyle w:val="Corpotesto"/>
        <w:ind w:right="45"/>
        <w:jc w:val="both"/>
        <w:rPr>
          <w:rFonts w:ascii="Arial" w:hAnsi="Arial" w:cs="Arial"/>
          <w:sz w:val="24"/>
          <w:szCs w:val="24"/>
        </w:rPr>
      </w:pPr>
    </w:p>
    <w:p w14:paraId="7194A5A4" w14:textId="06B995EB" w:rsidR="00CF6703" w:rsidRDefault="001C57F5" w:rsidP="001C57F5">
      <w:pPr>
        <w:pStyle w:val="Titolo2"/>
      </w:pPr>
      <w:bookmarkStart w:id="10" w:name="_Toc74265399"/>
      <w:r>
        <w:lastRenderedPageBreak/>
        <w:t>Il NFAP e il FRL dell’Italia</w:t>
      </w:r>
      <w:bookmarkEnd w:id="10"/>
    </w:p>
    <w:p w14:paraId="0FF09803" w14:textId="1C046F80" w:rsidR="00CF6703" w:rsidRDefault="00CF6703" w:rsidP="006332E1">
      <w:pPr>
        <w:pStyle w:val="Corpotesto"/>
        <w:ind w:right="45"/>
        <w:jc w:val="both"/>
        <w:rPr>
          <w:rFonts w:ascii="Arial" w:hAnsi="Arial" w:cs="Arial"/>
          <w:sz w:val="24"/>
          <w:szCs w:val="24"/>
        </w:rPr>
      </w:pPr>
    </w:p>
    <w:p w14:paraId="7136551E" w14:textId="3A0E0F4E" w:rsidR="00CF6703" w:rsidRDefault="00C45724" w:rsidP="00D6473A">
      <w:pPr>
        <w:pStyle w:val="Corpotesto"/>
        <w:ind w:right="45" w:firstLine="567"/>
        <w:jc w:val="both"/>
        <w:rPr>
          <w:rFonts w:ascii="Arial" w:hAnsi="Arial" w:cs="Arial"/>
          <w:sz w:val="24"/>
          <w:szCs w:val="24"/>
        </w:rPr>
      </w:pPr>
      <w:r>
        <w:rPr>
          <w:rFonts w:ascii="Arial" w:hAnsi="Arial" w:cs="Arial"/>
          <w:sz w:val="24"/>
          <w:szCs w:val="24"/>
        </w:rPr>
        <w:t xml:space="preserve">L’Italia è in compliance con </w:t>
      </w:r>
      <w:r w:rsidR="006B2B4E">
        <w:rPr>
          <w:rFonts w:ascii="Arial" w:hAnsi="Arial" w:cs="Arial"/>
          <w:sz w:val="24"/>
          <w:szCs w:val="24"/>
        </w:rPr>
        <w:t xml:space="preserve">la redazione del </w:t>
      </w:r>
      <w:r w:rsidR="006B2B4E" w:rsidRPr="00B83965">
        <w:rPr>
          <w:rFonts w:ascii="Arial" w:hAnsi="Arial" w:cs="Arial"/>
          <w:i/>
          <w:iCs/>
          <w:sz w:val="24"/>
          <w:szCs w:val="24"/>
        </w:rPr>
        <w:t xml:space="preserve">National </w:t>
      </w:r>
      <w:proofErr w:type="spellStart"/>
      <w:r w:rsidR="006B2B4E" w:rsidRPr="00B83965">
        <w:rPr>
          <w:rFonts w:ascii="Arial" w:hAnsi="Arial" w:cs="Arial"/>
          <w:i/>
          <w:iCs/>
          <w:sz w:val="24"/>
          <w:szCs w:val="24"/>
        </w:rPr>
        <w:t>Forest</w:t>
      </w:r>
      <w:proofErr w:type="spellEnd"/>
      <w:r w:rsidR="006B2B4E" w:rsidRPr="00B83965">
        <w:rPr>
          <w:rFonts w:ascii="Arial" w:hAnsi="Arial" w:cs="Arial"/>
          <w:i/>
          <w:iCs/>
          <w:sz w:val="24"/>
          <w:szCs w:val="24"/>
        </w:rPr>
        <w:t xml:space="preserve"> Accounting Plan</w:t>
      </w:r>
      <w:r w:rsidR="006B2B4E">
        <w:rPr>
          <w:rFonts w:ascii="Arial" w:hAnsi="Arial" w:cs="Arial"/>
          <w:sz w:val="24"/>
          <w:szCs w:val="24"/>
        </w:rPr>
        <w:t xml:space="preserve"> (NFAP)</w:t>
      </w:r>
      <w:r w:rsidR="007F6AD1">
        <w:rPr>
          <w:rFonts w:ascii="Arial" w:hAnsi="Arial" w:cs="Arial"/>
          <w:sz w:val="24"/>
          <w:szCs w:val="24"/>
        </w:rPr>
        <w:t xml:space="preserve"> nel quale viene definito il FRL</w:t>
      </w:r>
      <w:r w:rsidR="00C20DD0">
        <w:rPr>
          <w:rFonts w:ascii="Arial" w:hAnsi="Arial" w:cs="Arial"/>
          <w:sz w:val="24"/>
          <w:szCs w:val="24"/>
        </w:rPr>
        <w:t>. L’organismo incaricato della redazione è ISPRA</w:t>
      </w:r>
      <w:r w:rsidR="002E2BEC">
        <w:rPr>
          <w:rFonts w:ascii="Arial" w:hAnsi="Arial" w:cs="Arial"/>
          <w:sz w:val="24"/>
          <w:szCs w:val="24"/>
        </w:rPr>
        <w:t>, con il contributo del Ministero delle Politiche Agricole, Forestali e del Turismo</w:t>
      </w:r>
      <w:r w:rsidR="00E3192E">
        <w:rPr>
          <w:rFonts w:ascii="Arial" w:hAnsi="Arial" w:cs="Arial"/>
          <w:sz w:val="24"/>
          <w:szCs w:val="24"/>
        </w:rPr>
        <w:t>.</w:t>
      </w:r>
      <w:r w:rsidR="00B72739">
        <w:rPr>
          <w:rFonts w:ascii="Arial" w:hAnsi="Arial" w:cs="Arial"/>
          <w:sz w:val="24"/>
          <w:szCs w:val="24"/>
        </w:rPr>
        <w:t xml:space="preserve"> </w:t>
      </w:r>
      <w:r w:rsidR="004D58FF">
        <w:rPr>
          <w:rFonts w:ascii="Arial" w:hAnsi="Arial" w:cs="Arial"/>
          <w:sz w:val="24"/>
          <w:szCs w:val="24"/>
        </w:rPr>
        <w:t xml:space="preserve">ISPRA è incaricata anche della compilazione </w:t>
      </w:r>
      <w:r w:rsidR="004D58FF" w:rsidRPr="00B83965">
        <w:rPr>
          <w:rFonts w:ascii="Arial" w:hAnsi="Arial" w:cs="Arial"/>
          <w:i/>
          <w:iCs/>
          <w:sz w:val="24"/>
          <w:szCs w:val="24"/>
        </w:rPr>
        <w:t>del</w:t>
      </w:r>
      <w:r w:rsidR="008660A5" w:rsidRPr="00B83965">
        <w:rPr>
          <w:rFonts w:ascii="Arial" w:hAnsi="Arial" w:cs="Arial"/>
          <w:i/>
          <w:iCs/>
          <w:sz w:val="24"/>
          <w:szCs w:val="24"/>
        </w:rPr>
        <w:t>l’inventario dei gas GHG</w:t>
      </w:r>
      <w:r w:rsidR="004D7E33">
        <w:rPr>
          <w:rFonts w:ascii="Arial" w:hAnsi="Arial" w:cs="Arial"/>
          <w:sz w:val="24"/>
          <w:szCs w:val="24"/>
        </w:rPr>
        <w:t xml:space="preserve"> nonché del </w:t>
      </w:r>
      <w:r w:rsidR="004D7E33" w:rsidRPr="00B83965">
        <w:rPr>
          <w:rFonts w:ascii="Arial" w:hAnsi="Arial" w:cs="Arial"/>
          <w:i/>
          <w:iCs/>
          <w:sz w:val="24"/>
          <w:szCs w:val="24"/>
        </w:rPr>
        <w:t>Natio</w:t>
      </w:r>
      <w:r w:rsidR="00E45F40" w:rsidRPr="00B83965">
        <w:rPr>
          <w:rFonts w:ascii="Arial" w:hAnsi="Arial" w:cs="Arial"/>
          <w:i/>
          <w:iCs/>
          <w:sz w:val="24"/>
          <w:szCs w:val="24"/>
        </w:rPr>
        <w:t xml:space="preserve">nal system for policies, </w:t>
      </w:r>
      <w:proofErr w:type="spellStart"/>
      <w:r w:rsidR="00E45F40" w:rsidRPr="00B83965">
        <w:rPr>
          <w:rFonts w:ascii="Arial" w:hAnsi="Arial" w:cs="Arial"/>
          <w:i/>
          <w:iCs/>
          <w:sz w:val="24"/>
          <w:szCs w:val="24"/>
        </w:rPr>
        <w:t>measures</w:t>
      </w:r>
      <w:proofErr w:type="spellEnd"/>
      <w:r w:rsidR="00E45F40" w:rsidRPr="00B83965">
        <w:rPr>
          <w:rFonts w:ascii="Arial" w:hAnsi="Arial" w:cs="Arial"/>
          <w:i/>
          <w:iCs/>
          <w:sz w:val="24"/>
          <w:szCs w:val="24"/>
        </w:rPr>
        <w:t xml:space="preserve"> and </w:t>
      </w:r>
      <w:proofErr w:type="spellStart"/>
      <w:r w:rsidR="00E45F40" w:rsidRPr="00B83965">
        <w:rPr>
          <w:rFonts w:ascii="Arial" w:hAnsi="Arial" w:cs="Arial"/>
          <w:i/>
          <w:iCs/>
          <w:sz w:val="24"/>
          <w:szCs w:val="24"/>
        </w:rPr>
        <w:t>emissions</w:t>
      </w:r>
      <w:proofErr w:type="spellEnd"/>
      <w:r w:rsidR="00E45F40" w:rsidRPr="00B83965">
        <w:rPr>
          <w:rFonts w:ascii="Arial" w:hAnsi="Arial" w:cs="Arial"/>
          <w:i/>
          <w:iCs/>
          <w:sz w:val="24"/>
          <w:szCs w:val="24"/>
        </w:rPr>
        <w:t xml:space="preserve"> </w:t>
      </w:r>
      <w:proofErr w:type="spellStart"/>
      <w:r w:rsidR="00E45F40" w:rsidRPr="00B83965">
        <w:rPr>
          <w:rFonts w:ascii="Arial" w:hAnsi="Arial" w:cs="Arial"/>
          <w:i/>
          <w:iCs/>
          <w:sz w:val="24"/>
          <w:szCs w:val="24"/>
        </w:rPr>
        <w:t>pro</w:t>
      </w:r>
      <w:r w:rsidR="00B2465F" w:rsidRPr="00B83965">
        <w:rPr>
          <w:rFonts w:ascii="Arial" w:hAnsi="Arial" w:cs="Arial"/>
          <w:i/>
          <w:iCs/>
          <w:sz w:val="24"/>
          <w:szCs w:val="24"/>
        </w:rPr>
        <w:t>jections</w:t>
      </w:r>
      <w:proofErr w:type="spellEnd"/>
      <w:r w:rsidR="00B2465F">
        <w:rPr>
          <w:rFonts w:ascii="Arial" w:hAnsi="Arial" w:cs="Arial"/>
          <w:sz w:val="24"/>
          <w:szCs w:val="24"/>
        </w:rPr>
        <w:t>, stabilito nell’Emendamento di Doha del Protocollo di</w:t>
      </w:r>
      <w:r w:rsidR="00B83965">
        <w:rPr>
          <w:rFonts w:ascii="Arial" w:hAnsi="Arial" w:cs="Arial"/>
          <w:sz w:val="24"/>
          <w:szCs w:val="24"/>
        </w:rPr>
        <w:t xml:space="preserve"> </w:t>
      </w:r>
      <w:r w:rsidR="00B2465F">
        <w:rPr>
          <w:rFonts w:ascii="Arial" w:hAnsi="Arial" w:cs="Arial"/>
          <w:sz w:val="24"/>
          <w:szCs w:val="24"/>
        </w:rPr>
        <w:t>Kyoto</w:t>
      </w:r>
      <w:r w:rsidR="006D4F2D">
        <w:rPr>
          <w:rStyle w:val="Rimandonotaapidipagina"/>
          <w:rFonts w:ascii="Arial" w:hAnsi="Arial" w:cs="Arial"/>
          <w:sz w:val="24"/>
          <w:szCs w:val="24"/>
        </w:rPr>
        <w:footnoteReference w:id="52"/>
      </w:r>
      <w:r w:rsidR="00B83965">
        <w:rPr>
          <w:rFonts w:ascii="Arial" w:hAnsi="Arial" w:cs="Arial"/>
          <w:sz w:val="24"/>
          <w:szCs w:val="24"/>
        </w:rPr>
        <w:t xml:space="preserve">. </w:t>
      </w:r>
    </w:p>
    <w:p w14:paraId="7B8708B0" w14:textId="5320CCED" w:rsidR="00826FD6" w:rsidRDefault="00A47AB4" w:rsidP="00D6473A">
      <w:pPr>
        <w:pStyle w:val="Corpotesto"/>
        <w:ind w:right="45" w:firstLine="567"/>
        <w:jc w:val="both"/>
        <w:rPr>
          <w:rFonts w:ascii="Arial" w:hAnsi="Arial" w:cs="Arial"/>
          <w:sz w:val="24"/>
          <w:szCs w:val="24"/>
        </w:rPr>
      </w:pPr>
      <w:r>
        <w:rPr>
          <w:rFonts w:ascii="Arial" w:hAnsi="Arial" w:cs="Arial"/>
          <w:sz w:val="24"/>
          <w:szCs w:val="24"/>
        </w:rPr>
        <w:t>Il val</w:t>
      </w:r>
      <w:r w:rsidR="00F8406B">
        <w:rPr>
          <w:rFonts w:ascii="Arial" w:hAnsi="Arial" w:cs="Arial"/>
          <w:sz w:val="24"/>
          <w:szCs w:val="24"/>
        </w:rPr>
        <w:t xml:space="preserve">ore stimato per l’FRL per il </w:t>
      </w:r>
      <w:r w:rsidR="00CA6834">
        <w:rPr>
          <w:rFonts w:ascii="Arial" w:hAnsi="Arial" w:cs="Arial"/>
          <w:sz w:val="24"/>
          <w:szCs w:val="24"/>
        </w:rPr>
        <w:t>periodo di riferimento 2021-25 è pari a -19.651,1 Kton di CO</w:t>
      </w:r>
      <w:r w:rsidR="00CA6834" w:rsidRPr="00423453">
        <w:rPr>
          <w:rFonts w:ascii="Arial" w:hAnsi="Arial" w:cs="Arial"/>
          <w:sz w:val="24"/>
          <w:szCs w:val="24"/>
          <w:vertAlign w:val="subscript"/>
        </w:rPr>
        <w:t>2</w:t>
      </w:r>
      <w:r w:rsidR="00CA6834">
        <w:rPr>
          <w:rFonts w:ascii="Arial" w:hAnsi="Arial" w:cs="Arial"/>
          <w:sz w:val="24"/>
          <w:szCs w:val="24"/>
        </w:rPr>
        <w:t xml:space="preserve"> </w:t>
      </w:r>
      <w:proofErr w:type="spellStart"/>
      <w:r w:rsidR="00CA6834">
        <w:rPr>
          <w:rFonts w:ascii="Arial" w:hAnsi="Arial" w:cs="Arial"/>
          <w:sz w:val="24"/>
          <w:szCs w:val="24"/>
        </w:rPr>
        <w:t>eq</w:t>
      </w:r>
      <w:proofErr w:type="spellEnd"/>
      <w:r w:rsidR="00CA6834">
        <w:rPr>
          <w:rFonts w:ascii="Arial" w:hAnsi="Arial" w:cs="Arial"/>
          <w:sz w:val="24"/>
          <w:szCs w:val="24"/>
        </w:rPr>
        <w:t>.</w:t>
      </w:r>
      <w:r w:rsidR="00AD14D6">
        <w:rPr>
          <w:rFonts w:ascii="Arial" w:hAnsi="Arial" w:cs="Arial"/>
          <w:sz w:val="24"/>
          <w:szCs w:val="24"/>
        </w:rPr>
        <w:t xml:space="preserve">, che corrisponde alla quantità </w:t>
      </w:r>
      <w:r w:rsidR="00945CFF">
        <w:rPr>
          <w:rFonts w:ascii="Arial" w:hAnsi="Arial" w:cs="Arial"/>
          <w:sz w:val="24"/>
          <w:szCs w:val="24"/>
        </w:rPr>
        <w:t xml:space="preserve">di gas GHG rimossa nelle foreste gestite in Italia. </w:t>
      </w:r>
      <w:r w:rsidR="00CB5E5C">
        <w:rPr>
          <w:rFonts w:ascii="Arial" w:hAnsi="Arial" w:cs="Arial"/>
          <w:sz w:val="24"/>
          <w:szCs w:val="24"/>
        </w:rPr>
        <w:t xml:space="preserve">Uno degli elementi rilevanti di questa stima è che è stata condotta con la stessa metodologia utilizzata da ISPRA per </w:t>
      </w:r>
      <w:r w:rsidR="000828C5">
        <w:rPr>
          <w:rFonts w:ascii="Arial" w:hAnsi="Arial" w:cs="Arial"/>
          <w:sz w:val="24"/>
          <w:szCs w:val="24"/>
        </w:rPr>
        <w:t>l’inventario dei gas GHG, rendendo quindi c</w:t>
      </w:r>
      <w:r w:rsidR="00DE45AD">
        <w:rPr>
          <w:rFonts w:ascii="Arial" w:hAnsi="Arial" w:cs="Arial"/>
          <w:sz w:val="24"/>
          <w:szCs w:val="24"/>
        </w:rPr>
        <w:t xml:space="preserve">oerenti e consistenti le due stime. </w:t>
      </w:r>
    </w:p>
    <w:p w14:paraId="2C628C98" w14:textId="4FBF944F" w:rsidR="008358ED" w:rsidRDefault="008358ED" w:rsidP="00D6473A">
      <w:pPr>
        <w:pStyle w:val="Corpotesto"/>
        <w:ind w:right="45" w:firstLine="567"/>
        <w:jc w:val="both"/>
        <w:rPr>
          <w:rFonts w:ascii="Arial" w:hAnsi="Arial" w:cs="Arial"/>
          <w:sz w:val="24"/>
          <w:szCs w:val="24"/>
        </w:rPr>
      </w:pPr>
      <w:r>
        <w:rPr>
          <w:rFonts w:ascii="Arial" w:hAnsi="Arial" w:cs="Arial"/>
          <w:sz w:val="24"/>
          <w:szCs w:val="24"/>
        </w:rPr>
        <w:t xml:space="preserve">Nella </w:t>
      </w:r>
      <w:r w:rsidR="003039D3">
        <w:rPr>
          <w:rFonts w:ascii="Arial" w:hAnsi="Arial" w:cs="Arial"/>
          <w:sz w:val="24"/>
          <w:szCs w:val="24"/>
        </w:rPr>
        <w:t xml:space="preserve">redazione del NFAP, ISPRA si è attenuta </w:t>
      </w:r>
      <w:r w:rsidR="00AA77C0">
        <w:rPr>
          <w:rFonts w:ascii="Arial" w:hAnsi="Arial" w:cs="Arial"/>
          <w:sz w:val="24"/>
          <w:szCs w:val="24"/>
        </w:rPr>
        <w:t xml:space="preserve">ai principi stabiliti nel Regolamento, ovvero: </w:t>
      </w:r>
    </w:p>
    <w:p w14:paraId="76ACFD79" w14:textId="06FB7C3E" w:rsidR="00826FD6" w:rsidRDefault="00826FD6" w:rsidP="006332E1">
      <w:pPr>
        <w:pStyle w:val="Corpotesto"/>
        <w:ind w:right="45"/>
        <w:jc w:val="both"/>
        <w:rPr>
          <w:rFonts w:ascii="Arial" w:hAnsi="Arial" w:cs="Arial"/>
          <w:sz w:val="24"/>
          <w:szCs w:val="24"/>
        </w:rPr>
      </w:pPr>
    </w:p>
    <w:p w14:paraId="4046331C" w14:textId="5EF94515" w:rsidR="00275B49" w:rsidRPr="004A40FD" w:rsidRDefault="00275B49" w:rsidP="00076117">
      <w:pPr>
        <w:pStyle w:val="Corpotesto"/>
        <w:numPr>
          <w:ilvl w:val="0"/>
          <w:numId w:val="21"/>
        </w:numPr>
        <w:ind w:right="45"/>
        <w:jc w:val="both"/>
        <w:rPr>
          <w:rFonts w:ascii="Arial" w:hAnsi="Arial" w:cs="Arial"/>
          <w:color w:val="000000"/>
          <w:sz w:val="24"/>
          <w:szCs w:val="24"/>
        </w:rPr>
      </w:pPr>
      <w:r w:rsidRPr="004A40FD">
        <w:rPr>
          <w:rFonts w:ascii="Arial" w:hAnsi="Arial" w:cs="Arial"/>
          <w:color w:val="000000"/>
          <w:sz w:val="24"/>
          <w:szCs w:val="24"/>
        </w:rPr>
        <w:t>Il FRL italiano non include alcuna ipotesi sui cambiamenti futuri delle condizioni del BAU, vale a dire la continuazione delle attuali pratiche di gestione forestale.</w:t>
      </w:r>
    </w:p>
    <w:p w14:paraId="3DA47BAC" w14:textId="77777777" w:rsidR="00275B49" w:rsidRPr="004A40FD" w:rsidRDefault="00275B49" w:rsidP="006332E1">
      <w:pPr>
        <w:pStyle w:val="Corpotesto"/>
        <w:ind w:right="45"/>
        <w:jc w:val="both"/>
        <w:rPr>
          <w:rFonts w:ascii="Arial" w:hAnsi="Arial" w:cs="Arial"/>
          <w:color w:val="000000"/>
          <w:sz w:val="24"/>
          <w:szCs w:val="24"/>
          <w:shd w:val="clear" w:color="auto" w:fill="FFFFFF"/>
        </w:rPr>
      </w:pPr>
    </w:p>
    <w:p w14:paraId="78D9FE02" w14:textId="51301BB9" w:rsidR="00275B49" w:rsidRPr="004A40FD" w:rsidRDefault="00275B49" w:rsidP="00076117">
      <w:pPr>
        <w:pStyle w:val="Corpotesto"/>
        <w:numPr>
          <w:ilvl w:val="0"/>
          <w:numId w:val="21"/>
        </w:numPr>
        <w:ind w:right="45"/>
        <w:jc w:val="both"/>
        <w:rPr>
          <w:rFonts w:ascii="Arial" w:hAnsi="Arial" w:cs="Arial"/>
          <w:sz w:val="24"/>
          <w:szCs w:val="24"/>
        </w:rPr>
      </w:pPr>
      <w:r w:rsidRPr="004A40FD">
        <w:rPr>
          <w:rFonts w:ascii="Arial" w:hAnsi="Arial" w:cs="Arial"/>
          <w:color w:val="000000"/>
          <w:sz w:val="24"/>
          <w:szCs w:val="24"/>
          <w:shd w:val="clear" w:color="auto" w:fill="FFFFFF"/>
        </w:rPr>
        <w:t>Le pratiche di gestione delle foreste applicate per la proiezione dell'FRL sono le stesse applicate nel periodo di riferimento conformemente alla legislazione dell'UE e nazionale in materia di gestione delle foreste e protezione delle foreste, anche per la conservazione della biodiversità.</w:t>
      </w:r>
    </w:p>
    <w:p w14:paraId="486DF77B" w14:textId="5412C410" w:rsidR="00A47AB4" w:rsidRPr="004A40FD" w:rsidRDefault="00A47AB4" w:rsidP="006332E1">
      <w:pPr>
        <w:pStyle w:val="Corpotesto"/>
        <w:ind w:right="45"/>
        <w:jc w:val="both"/>
        <w:rPr>
          <w:rFonts w:ascii="Arial" w:hAnsi="Arial" w:cs="Arial"/>
          <w:sz w:val="24"/>
          <w:szCs w:val="24"/>
        </w:rPr>
      </w:pPr>
    </w:p>
    <w:p w14:paraId="5121F575" w14:textId="0694F126" w:rsidR="00CB4DA8" w:rsidRPr="004A40FD" w:rsidRDefault="00C22047" w:rsidP="00076117">
      <w:pPr>
        <w:pStyle w:val="Corpotesto"/>
        <w:numPr>
          <w:ilvl w:val="0"/>
          <w:numId w:val="21"/>
        </w:numPr>
        <w:ind w:right="45"/>
        <w:jc w:val="both"/>
        <w:rPr>
          <w:rFonts w:ascii="Arial" w:hAnsi="Arial" w:cs="Arial"/>
          <w:color w:val="000000"/>
          <w:sz w:val="24"/>
          <w:szCs w:val="24"/>
          <w:shd w:val="clear" w:color="auto" w:fill="FFFFFF"/>
        </w:rPr>
      </w:pPr>
      <w:r w:rsidRPr="004A40FD">
        <w:rPr>
          <w:rFonts w:ascii="Arial" w:hAnsi="Arial" w:cs="Arial"/>
          <w:color w:val="000000"/>
          <w:sz w:val="24"/>
          <w:szCs w:val="24"/>
          <w:shd w:val="clear" w:color="auto" w:fill="FFFFFF"/>
        </w:rPr>
        <w:t>L'FRL è pienamente coerente con le proiezioni nazionali di emissioni di gas a effetto serra di origine antropica da fonti e di assorbimento da pozzi di assorbimento di cui al regolamento (UE) n. 525/2013. Il quadro di modellizzazione utilizzato per la stima e la rendicontazione ai sensi del regolamento (UE) n. 525/2013 è lo stesso utilizzato per stimare l'FRL in modo da garantire la piena coerenza.</w:t>
      </w:r>
      <w:r w:rsidR="009D3C3D" w:rsidRPr="004A40FD">
        <w:rPr>
          <w:rFonts w:ascii="Arial" w:hAnsi="Arial" w:cs="Arial"/>
          <w:color w:val="000000"/>
          <w:sz w:val="24"/>
          <w:szCs w:val="24"/>
          <w:shd w:val="clear" w:color="auto" w:fill="F7F7F7"/>
        </w:rPr>
        <w:t xml:space="preserve"> </w:t>
      </w:r>
    </w:p>
    <w:p w14:paraId="179C53C1" w14:textId="6BFDB825" w:rsidR="002A6AF7" w:rsidRDefault="002A6AF7" w:rsidP="006332E1">
      <w:pPr>
        <w:pStyle w:val="Corpotesto"/>
        <w:ind w:right="45"/>
        <w:jc w:val="both"/>
        <w:rPr>
          <w:rFonts w:ascii="Arial" w:hAnsi="Arial" w:cs="Arial"/>
          <w:sz w:val="24"/>
          <w:szCs w:val="24"/>
        </w:rPr>
      </w:pPr>
    </w:p>
    <w:p w14:paraId="7F8E53C1" w14:textId="3ACC977E" w:rsidR="004A40FD" w:rsidRDefault="006028AB" w:rsidP="00905252">
      <w:pPr>
        <w:pStyle w:val="Corpotesto"/>
        <w:ind w:right="45" w:firstLine="567"/>
        <w:jc w:val="both"/>
        <w:rPr>
          <w:rFonts w:ascii="Arial" w:hAnsi="Arial" w:cs="Arial"/>
          <w:sz w:val="24"/>
          <w:szCs w:val="24"/>
        </w:rPr>
      </w:pPr>
      <w:r>
        <w:rPr>
          <w:rFonts w:ascii="Arial" w:hAnsi="Arial" w:cs="Arial"/>
          <w:sz w:val="24"/>
          <w:szCs w:val="24"/>
        </w:rPr>
        <w:t>Per la redazione del NFAP, ISPRA ha utilizzato i dati dell’Inventario Nazionale Forestale</w:t>
      </w:r>
      <w:r w:rsidR="002879BC">
        <w:rPr>
          <w:rFonts w:ascii="Arial" w:hAnsi="Arial" w:cs="Arial"/>
          <w:sz w:val="24"/>
          <w:szCs w:val="24"/>
        </w:rPr>
        <w:t xml:space="preserve">, la normativa nazionale e regionale. </w:t>
      </w:r>
      <w:r w:rsidR="0075368A">
        <w:rPr>
          <w:rFonts w:ascii="Arial" w:hAnsi="Arial" w:cs="Arial"/>
          <w:sz w:val="24"/>
          <w:szCs w:val="24"/>
        </w:rPr>
        <w:t>In particolare</w:t>
      </w:r>
      <w:r w:rsidR="00173DF1">
        <w:rPr>
          <w:rFonts w:ascii="Arial" w:hAnsi="Arial" w:cs="Arial"/>
          <w:sz w:val="24"/>
          <w:szCs w:val="24"/>
        </w:rPr>
        <w:t>,</w:t>
      </w:r>
      <w:r w:rsidR="0075368A">
        <w:rPr>
          <w:rFonts w:ascii="Arial" w:hAnsi="Arial" w:cs="Arial"/>
          <w:sz w:val="24"/>
          <w:szCs w:val="24"/>
        </w:rPr>
        <w:t xml:space="preserve"> ha considerato i seguenti elementi.</w:t>
      </w:r>
    </w:p>
    <w:p w14:paraId="5AFFC98C" w14:textId="77777777" w:rsidR="004A40FD" w:rsidRPr="00C22047" w:rsidRDefault="004A40FD" w:rsidP="006332E1">
      <w:pPr>
        <w:pStyle w:val="Corpotesto"/>
        <w:ind w:right="45"/>
        <w:jc w:val="both"/>
        <w:rPr>
          <w:rFonts w:ascii="Arial" w:hAnsi="Arial" w:cs="Arial"/>
          <w:sz w:val="24"/>
          <w:szCs w:val="24"/>
        </w:rPr>
      </w:pPr>
    </w:p>
    <w:p w14:paraId="69CFA956" w14:textId="6FD135A2" w:rsidR="00C37DCD" w:rsidRPr="00F91534" w:rsidRDefault="00B1224C" w:rsidP="00076117">
      <w:pPr>
        <w:pStyle w:val="Corpotesto"/>
        <w:numPr>
          <w:ilvl w:val="0"/>
          <w:numId w:val="22"/>
        </w:numPr>
        <w:ind w:right="45"/>
        <w:jc w:val="both"/>
        <w:rPr>
          <w:rFonts w:ascii="Arial" w:hAnsi="Arial" w:cs="Arial"/>
          <w:sz w:val="24"/>
          <w:szCs w:val="24"/>
        </w:rPr>
      </w:pPr>
      <w:r w:rsidRPr="00F91534">
        <w:rPr>
          <w:rFonts w:ascii="Arial" w:hAnsi="Arial" w:cs="Arial"/>
          <w:sz w:val="24"/>
          <w:szCs w:val="24"/>
        </w:rPr>
        <w:t xml:space="preserve">Lo sviluppo </w:t>
      </w:r>
      <w:r w:rsidR="0075368A" w:rsidRPr="00F91534">
        <w:rPr>
          <w:rFonts w:ascii="Arial" w:hAnsi="Arial" w:cs="Arial"/>
          <w:sz w:val="24"/>
          <w:szCs w:val="24"/>
        </w:rPr>
        <w:t>della nuova</w:t>
      </w:r>
      <w:r w:rsidRPr="00F91534">
        <w:rPr>
          <w:rFonts w:ascii="Arial" w:hAnsi="Arial" w:cs="Arial"/>
          <w:sz w:val="24"/>
          <w:szCs w:val="24"/>
        </w:rPr>
        <w:t xml:space="preserve"> strategia forestale nazionale a lungo termine </w:t>
      </w:r>
      <w:r w:rsidR="002803D3" w:rsidRPr="00F91534">
        <w:rPr>
          <w:rFonts w:ascii="Arial" w:hAnsi="Arial" w:cs="Arial"/>
          <w:sz w:val="24"/>
          <w:szCs w:val="24"/>
        </w:rPr>
        <w:t>a seguito</w:t>
      </w:r>
      <w:r w:rsidRPr="00F91534">
        <w:rPr>
          <w:rFonts w:ascii="Arial" w:hAnsi="Arial" w:cs="Arial"/>
          <w:sz w:val="24"/>
          <w:szCs w:val="24"/>
        </w:rPr>
        <w:t xml:space="preserve"> d</w:t>
      </w:r>
      <w:r w:rsidR="002803D3" w:rsidRPr="00F91534">
        <w:rPr>
          <w:rFonts w:ascii="Arial" w:hAnsi="Arial" w:cs="Arial"/>
          <w:sz w:val="24"/>
          <w:szCs w:val="24"/>
        </w:rPr>
        <w:t>e</w:t>
      </w:r>
      <w:r w:rsidRPr="00F91534">
        <w:rPr>
          <w:rFonts w:ascii="Arial" w:hAnsi="Arial" w:cs="Arial"/>
          <w:sz w:val="24"/>
          <w:szCs w:val="24"/>
        </w:rPr>
        <w:t xml:space="preserve">lla recente adozione del Decreto Legislativo n. 34 "Testo Unico in materia di Foreste e Filiere forestali" </w:t>
      </w:r>
      <w:r w:rsidR="002803D3" w:rsidRPr="00F91534">
        <w:rPr>
          <w:rFonts w:ascii="Arial" w:hAnsi="Arial" w:cs="Arial"/>
          <w:sz w:val="24"/>
          <w:szCs w:val="24"/>
        </w:rPr>
        <w:t xml:space="preserve">del </w:t>
      </w:r>
      <w:r w:rsidR="00751A34" w:rsidRPr="00F91534">
        <w:rPr>
          <w:rFonts w:ascii="Arial" w:hAnsi="Arial" w:cs="Arial"/>
          <w:sz w:val="24"/>
          <w:szCs w:val="24"/>
        </w:rPr>
        <w:t>3 aprile 2018</w:t>
      </w:r>
      <w:r w:rsidR="00DD2CD1" w:rsidRPr="00F91534">
        <w:rPr>
          <w:rFonts w:ascii="Arial" w:hAnsi="Arial" w:cs="Arial"/>
          <w:sz w:val="24"/>
          <w:szCs w:val="24"/>
        </w:rPr>
        <w:t xml:space="preserve"> (</w:t>
      </w:r>
      <w:r w:rsidR="004222D1" w:rsidRPr="00F91534">
        <w:rPr>
          <w:rFonts w:ascii="Arial" w:hAnsi="Arial" w:cs="Arial"/>
          <w:color w:val="000000"/>
          <w:sz w:val="24"/>
          <w:szCs w:val="24"/>
        </w:rPr>
        <w:t>comma 1, articolo 6, D.L</w:t>
      </w:r>
      <w:r w:rsidR="0060406B" w:rsidRPr="00F91534">
        <w:rPr>
          <w:rFonts w:ascii="Arial" w:hAnsi="Arial" w:cs="Arial"/>
          <w:color w:val="000000"/>
          <w:sz w:val="24"/>
          <w:szCs w:val="24"/>
        </w:rPr>
        <w:t>.</w:t>
      </w:r>
      <w:r w:rsidR="004222D1" w:rsidRPr="00F91534">
        <w:rPr>
          <w:rFonts w:ascii="Arial" w:hAnsi="Arial" w:cs="Arial"/>
          <w:color w:val="000000"/>
          <w:sz w:val="24"/>
          <w:szCs w:val="24"/>
        </w:rPr>
        <w:t xml:space="preserve"> n. 34</w:t>
      </w:r>
      <w:r w:rsidR="004222D1" w:rsidRPr="00F91534">
        <w:rPr>
          <w:rFonts w:ascii="Arial" w:hAnsi="Arial" w:cs="Arial"/>
          <w:sz w:val="24"/>
          <w:szCs w:val="24"/>
        </w:rPr>
        <w:t xml:space="preserve">), sebbene tale strategia </w:t>
      </w:r>
      <w:r w:rsidR="004222D1" w:rsidRPr="00F91534">
        <w:rPr>
          <w:rFonts w:ascii="Arial" w:hAnsi="Arial" w:cs="Arial"/>
          <w:color w:val="000000"/>
          <w:sz w:val="24"/>
          <w:szCs w:val="24"/>
        </w:rPr>
        <w:t>sarà in continuità con il PQSF</w:t>
      </w:r>
      <w:r w:rsidR="004222D1" w:rsidRPr="00F91534">
        <w:rPr>
          <w:rStyle w:val="Rimandonotaapidipagina"/>
          <w:rFonts w:ascii="Arial" w:hAnsi="Arial" w:cs="Arial"/>
          <w:color w:val="000000"/>
          <w:sz w:val="24"/>
          <w:szCs w:val="24"/>
        </w:rPr>
        <w:footnoteReference w:id="53"/>
      </w:r>
      <w:r w:rsidRPr="00F91534">
        <w:rPr>
          <w:rFonts w:ascii="Arial" w:hAnsi="Arial" w:cs="Arial"/>
          <w:sz w:val="24"/>
          <w:szCs w:val="24"/>
        </w:rPr>
        <w:t>.</w:t>
      </w:r>
    </w:p>
    <w:p w14:paraId="5DD56834" w14:textId="77777777" w:rsidR="002478D8" w:rsidRPr="00F91534" w:rsidRDefault="002478D8" w:rsidP="006332E1">
      <w:pPr>
        <w:pStyle w:val="Corpotesto"/>
        <w:ind w:right="45"/>
        <w:jc w:val="both"/>
        <w:rPr>
          <w:rFonts w:ascii="Arial" w:hAnsi="Arial" w:cs="Arial"/>
          <w:sz w:val="24"/>
          <w:szCs w:val="24"/>
        </w:rPr>
      </w:pPr>
    </w:p>
    <w:p w14:paraId="1A6BD3C9" w14:textId="63E3B064" w:rsidR="00E55A88" w:rsidRPr="00F91534" w:rsidRDefault="00E55A88" w:rsidP="00076117">
      <w:pPr>
        <w:pStyle w:val="Corpotesto"/>
        <w:numPr>
          <w:ilvl w:val="0"/>
          <w:numId w:val="22"/>
        </w:numPr>
        <w:ind w:right="45"/>
        <w:jc w:val="both"/>
        <w:rPr>
          <w:rFonts w:ascii="Arial" w:hAnsi="Arial" w:cs="Arial"/>
          <w:sz w:val="24"/>
          <w:szCs w:val="24"/>
        </w:rPr>
      </w:pPr>
      <w:r w:rsidRPr="00F91534">
        <w:rPr>
          <w:rFonts w:ascii="Arial" w:hAnsi="Arial" w:cs="Arial"/>
          <w:color w:val="000000"/>
          <w:sz w:val="24"/>
          <w:szCs w:val="24"/>
        </w:rPr>
        <w:t xml:space="preserve">Le pratiche di gestione storica delle foreste italiane </w:t>
      </w:r>
      <w:r w:rsidR="00173DF1" w:rsidRPr="00F91534">
        <w:rPr>
          <w:rFonts w:ascii="Arial" w:hAnsi="Arial" w:cs="Arial"/>
          <w:color w:val="000000"/>
          <w:sz w:val="24"/>
          <w:szCs w:val="24"/>
        </w:rPr>
        <w:t>descritte ne</w:t>
      </w:r>
      <w:r w:rsidRPr="00F91534">
        <w:rPr>
          <w:rFonts w:ascii="Arial" w:hAnsi="Arial" w:cs="Arial"/>
          <w:color w:val="000000"/>
          <w:sz w:val="24"/>
          <w:szCs w:val="24"/>
        </w:rPr>
        <w:t xml:space="preserve">l Decreto Legislativo n. 227 del 18 maggio 2001, </w:t>
      </w:r>
      <w:r w:rsidR="00173DF1" w:rsidRPr="00F91534">
        <w:rPr>
          <w:rFonts w:ascii="Arial" w:hAnsi="Arial" w:cs="Arial"/>
          <w:color w:val="000000"/>
          <w:sz w:val="24"/>
          <w:szCs w:val="24"/>
        </w:rPr>
        <w:t xml:space="preserve">tenendo conto che </w:t>
      </w:r>
      <w:r w:rsidRPr="00F91534">
        <w:rPr>
          <w:rFonts w:ascii="Arial" w:hAnsi="Arial" w:cs="Arial"/>
          <w:color w:val="000000"/>
          <w:sz w:val="24"/>
          <w:szCs w:val="24"/>
        </w:rPr>
        <w:t xml:space="preserve">la progettazione e l'attuazione di specifiche linee guida </w:t>
      </w:r>
      <w:r w:rsidR="00290972" w:rsidRPr="00F91534">
        <w:rPr>
          <w:rFonts w:ascii="Arial" w:hAnsi="Arial" w:cs="Arial"/>
          <w:color w:val="000000"/>
          <w:sz w:val="24"/>
          <w:szCs w:val="24"/>
        </w:rPr>
        <w:t>è</w:t>
      </w:r>
      <w:r w:rsidRPr="00F91534">
        <w:rPr>
          <w:rFonts w:ascii="Arial" w:hAnsi="Arial" w:cs="Arial"/>
          <w:color w:val="000000"/>
          <w:sz w:val="24"/>
          <w:szCs w:val="24"/>
        </w:rPr>
        <w:t xml:space="preserve"> stata effettuata a livello regionale poiché, secondo la Legge Costituzionale italiana, la gestione forestale è di competenza regionale</w:t>
      </w:r>
      <w:r w:rsidR="00602C65" w:rsidRPr="00F91534">
        <w:rPr>
          <w:rStyle w:val="Rimandonotaapidipagina"/>
          <w:rFonts w:ascii="Arial" w:hAnsi="Arial" w:cs="Arial"/>
          <w:color w:val="000000"/>
          <w:sz w:val="24"/>
          <w:szCs w:val="24"/>
        </w:rPr>
        <w:footnoteReference w:id="54"/>
      </w:r>
      <w:r w:rsidRPr="00F91534">
        <w:rPr>
          <w:rFonts w:ascii="Arial" w:hAnsi="Arial" w:cs="Arial"/>
          <w:color w:val="000000"/>
          <w:sz w:val="24"/>
          <w:szCs w:val="24"/>
        </w:rPr>
        <w:t>.</w:t>
      </w:r>
      <w:r w:rsidR="00290972" w:rsidRPr="00F91534">
        <w:rPr>
          <w:rFonts w:ascii="Arial" w:hAnsi="Arial" w:cs="Arial"/>
          <w:color w:val="000000"/>
          <w:sz w:val="24"/>
          <w:szCs w:val="24"/>
        </w:rPr>
        <w:t xml:space="preserve"> </w:t>
      </w:r>
    </w:p>
    <w:p w14:paraId="7745E081" w14:textId="77777777" w:rsidR="00343901" w:rsidRDefault="00343901" w:rsidP="000E0D51">
      <w:pPr>
        <w:pStyle w:val="Corpotesto"/>
        <w:ind w:right="45"/>
        <w:jc w:val="both"/>
        <w:rPr>
          <w:rFonts w:ascii="Arial" w:hAnsi="Arial" w:cs="Arial"/>
          <w:sz w:val="24"/>
          <w:szCs w:val="24"/>
        </w:rPr>
      </w:pPr>
    </w:p>
    <w:p w14:paraId="35539BD9" w14:textId="5253706F" w:rsidR="002F0520" w:rsidRDefault="00AE69B5" w:rsidP="00343901">
      <w:pPr>
        <w:pStyle w:val="Corpotesto"/>
        <w:ind w:right="45" w:firstLine="567"/>
        <w:jc w:val="both"/>
        <w:rPr>
          <w:rFonts w:ascii="Arial" w:hAnsi="Arial" w:cs="Arial"/>
          <w:sz w:val="24"/>
          <w:szCs w:val="24"/>
        </w:rPr>
      </w:pPr>
      <w:r>
        <w:rPr>
          <w:rFonts w:ascii="Arial" w:hAnsi="Arial" w:cs="Arial"/>
          <w:sz w:val="24"/>
          <w:szCs w:val="24"/>
        </w:rPr>
        <w:t>Tuttavia</w:t>
      </w:r>
      <w:r w:rsidR="00343901">
        <w:rPr>
          <w:rFonts w:ascii="Arial" w:hAnsi="Arial" w:cs="Arial"/>
          <w:sz w:val="24"/>
          <w:szCs w:val="24"/>
        </w:rPr>
        <w:t>,</w:t>
      </w:r>
      <w:r>
        <w:rPr>
          <w:rFonts w:ascii="Arial" w:hAnsi="Arial" w:cs="Arial"/>
          <w:sz w:val="24"/>
          <w:szCs w:val="24"/>
        </w:rPr>
        <w:t xml:space="preserve"> nel NFAP presentato da ISPRA, come si è detto nel paragrafo prec</w:t>
      </w:r>
      <w:r w:rsidR="00A13BCC">
        <w:rPr>
          <w:rFonts w:ascii="Arial" w:hAnsi="Arial" w:cs="Arial"/>
          <w:sz w:val="24"/>
          <w:szCs w:val="24"/>
        </w:rPr>
        <w:t xml:space="preserve">edente sulla </w:t>
      </w:r>
      <w:proofErr w:type="spellStart"/>
      <w:r w:rsidR="00A13BCC">
        <w:rPr>
          <w:rFonts w:ascii="Arial" w:hAnsi="Arial" w:cs="Arial"/>
          <w:sz w:val="24"/>
          <w:szCs w:val="24"/>
        </w:rPr>
        <w:t>Guidance</w:t>
      </w:r>
      <w:proofErr w:type="spellEnd"/>
      <w:r w:rsidR="00A13BCC">
        <w:rPr>
          <w:rFonts w:ascii="Arial" w:hAnsi="Arial" w:cs="Arial"/>
          <w:sz w:val="24"/>
          <w:szCs w:val="24"/>
        </w:rPr>
        <w:t xml:space="preserve">, vi sono alcune criticità che vanno considerate alla luce degli obbiettivi del progetto, soprattutto nell’ipotesi di considerare </w:t>
      </w:r>
      <w:r w:rsidR="007451CF">
        <w:rPr>
          <w:rFonts w:ascii="Arial" w:hAnsi="Arial" w:cs="Arial"/>
          <w:sz w:val="24"/>
          <w:szCs w:val="24"/>
        </w:rPr>
        <w:t xml:space="preserve">il FRL per l’Italia come BAU se riportato a livello locale. </w:t>
      </w:r>
      <w:r w:rsidR="00347542">
        <w:rPr>
          <w:rFonts w:ascii="Arial" w:hAnsi="Arial" w:cs="Arial"/>
          <w:sz w:val="24"/>
          <w:szCs w:val="24"/>
        </w:rPr>
        <w:t xml:space="preserve">Gli elementi di criticità sono essenzialmente </w:t>
      </w:r>
      <w:r w:rsidR="00752066">
        <w:rPr>
          <w:rFonts w:ascii="Arial" w:hAnsi="Arial" w:cs="Arial"/>
          <w:sz w:val="24"/>
          <w:szCs w:val="24"/>
        </w:rPr>
        <w:t xml:space="preserve">le seguenti </w:t>
      </w:r>
      <w:r w:rsidR="00F87DF2">
        <w:rPr>
          <w:rFonts w:ascii="Arial" w:hAnsi="Arial" w:cs="Arial"/>
          <w:sz w:val="24"/>
          <w:szCs w:val="24"/>
        </w:rPr>
        <w:t>tre</w:t>
      </w:r>
      <w:r w:rsidR="00752066">
        <w:rPr>
          <w:rFonts w:ascii="Arial" w:hAnsi="Arial" w:cs="Arial"/>
          <w:sz w:val="24"/>
          <w:szCs w:val="24"/>
        </w:rPr>
        <w:t xml:space="preserve"> assunzioni</w:t>
      </w:r>
      <w:r w:rsidR="0031481E">
        <w:rPr>
          <w:rFonts w:ascii="Arial" w:hAnsi="Arial" w:cs="Arial"/>
          <w:sz w:val="24"/>
          <w:szCs w:val="24"/>
        </w:rPr>
        <w:t>.</w:t>
      </w:r>
    </w:p>
    <w:p w14:paraId="55DE1B79" w14:textId="44D0C4CD" w:rsidR="0031481E" w:rsidRDefault="0031481E" w:rsidP="000E0D51">
      <w:pPr>
        <w:pStyle w:val="Corpotesto"/>
        <w:ind w:right="45"/>
        <w:jc w:val="both"/>
        <w:rPr>
          <w:rFonts w:ascii="Arial" w:hAnsi="Arial" w:cs="Arial"/>
          <w:sz w:val="24"/>
          <w:szCs w:val="24"/>
        </w:rPr>
      </w:pPr>
    </w:p>
    <w:p w14:paraId="016EFD4C" w14:textId="660D22DF" w:rsidR="0031481E" w:rsidRPr="0031481E" w:rsidRDefault="00752066" w:rsidP="00076117">
      <w:pPr>
        <w:pStyle w:val="Corpotesto"/>
        <w:numPr>
          <w:ilvl w:val="0"/>
          <w:numId w:val="23"/>
        </w:numPr>
        <w:ind w:right="45"/>
        <w:jc w:val="both"/>
        <w:rPr>
          <w:rFonts w:ascii="Arial" w:hAnsi="Arial" w:cs="Arial"/>
          <w:sz w:val="24"/>
          <w:szCs w:val="24"/>
        </w:rPr>
      </w:pPr>
      <w:r>
        <w:rPr>
          <w:rFonts w:ascii="Arial" w:hAnsi="Arial" w:cs="Arial"/>
          <w:sz w:val="24"/>
          <w:szCs w:val="24"/>
          <w:shd w:val="clear" w:color="auto" w:fill="FFFFFF"/>
        </w:rPr>
        <w:t>C</w:t>
      </w:r>
      <w:r w:rsidR="0031481E">
        <w:rPr>
          <w:rFonts w:ascii="Arial" w:hAnsi="Arial" w:cs="Arial"/>
          <w:sz w:val="24"/>
          <w:szCs w:val="24"/>
          <w:shd w:val="clear" w:color="auto" w:fill="FFFFFF"/>
        </w:rPr>
        <w:t>he t</w:t>
      </w:r>
      <w:r w:rsidR="0031481E" w:rsidRPr="0031481E">
        <w:rPr>
          <w:rFonts w:ascii="Arial" w:hAnsi="Arial" w:cs="Arial"/>
          <w:sz w:val="24"/>
          <w:szCs w:val="24"/>
          <w:shd w:val="clear" w:color="auto" w:fill="FFFFFF"/>
        </w:rPr>
        <w:t xml:space="preserve">utta la superficie forestale italiana è gestita e la </w:t>
      </w:r>
      <w:proofErr w:type="spellStart"/>
      <w:r w:rsidR="00555F8C">
        <w:rPr>
          <w:rFonts w:ascii="Arial" w:hAnsi="Arial" w:cs="Arial"/>
          <w:sz w:val="24"/>
          <w:szCs w:val="24"/>
          <w:shd w:val="clear" w:color="auto" w:fill="FFFFFF"/>
        </w:rPr>
        <w:t>Manag</w:t>
      </w:r>
      <w:r w:rsidR="00463263">
        <w:rPr>
          <w:rFonts w:ascii="Arial" w:hAnsi="Arial" w:cs="Arial"/>
          <w:sz w:val="24"/>
          <w:szCs w:val="24"/>
          <w:shd w:val="clear" w:color="auto" w:fill="FFFFFF"/>
        </w:rPr>
        <w:t>e</w:t>
      </w:r>
      <w:r w:rsidR="000D3800">
        <w:rPr>
          <w:rFonts w:ascii="Arial" w:hAnsi="Arial" w:cs="Arial"/>
          <w:sz w:val="24"/>
          <w:szCs w:val="24"/>
          <w:shd w:val="clear" w:color="auto" w:fill="FFFFFF"/>
        </w:rPr>
        <w:t>d</w:t>
      </w:r>
      <w:proofErr w:type="spellEnd"/>
      <w:r w:rsidR="00463263">
        <w:rPr>
          <w:rFonts w:ascii="Arial" w:hAnsi="Arial" w:cs="Arial"/>
          <w:sz w:val="24"/>
          <w:szCs w:val="24"/>
          <w:shd w:val="clear" w:color="auto" w:fill="FFFFFF"/>
        </w:rPr>
        <w:t xml:space="preserve"> </w:t>
      </w:r>
      <w:proofErr w:type="spellStart"/>
      <w:r w:rsidR="00463263">
        <w:rPr>
          <w:rFonts w:ascii="Arial" w:hAnsi="Arial" w:cs="Arial"/>
          <w:sz w:val="24"/>
          <w:szCs w:val="24"/>
          <w:shd w:val="clear" w:color="auto" w:fill="FFFFFF"/>
        </w:rPr>
        <w:t>Forest</w:t>
      </w:r>
      <w:proofErr w:type="spellEnd"/>
      <w:r w:rsidR="00463263">
        <w:rPr>
          <w:rFonts w:ascii="Arial" w:hAnsi="Arial" w:cs="Arial"/>
          <w:sz w:val="24"/>
          <w:szCs w:val="24"/>
          <w:shd w:val="clear" w:color="auto" w:fill="FFFFFF"/>
        </w:rPr>
        <w:t xml:space="preserve"> Land (</w:t>
      </w:r>
      <w:r w:rsidR="0031481E" w:rsidRPr="0031481E">
        <w:rPr>
          <w:rFonts w:ascii="Arial" w:hAnsi="Arial" w:cs="Arial"/>
          <w:sz w:val="24"/>
          <w:szCs w:val="24"/>
          <w:shd w:val="clear" w:color="auto" w:fill="FFFFFF"/>
        </w:rPr>
        <w:t>MFL</w:t>
      </w:r>
      <w:r w:rsidR="00463263">
        <w:rPr>
          <w:rFonts w:ascii="Arial" w:hAnsi="Arial" w:cs="Arial"/>
          <w:sz w:val="24"/>
          <w:szCs w:val="24"/>
          <w:shd w:val="clear" w:color="auto" w:fill="FFFFFF"/>
        </w:rPr>
        <w:t>)</w:t>
      </w:r>
      <w:r w:rsidR="0031481E" w:rsidRPr="0031481E">
        <w:rPr>
          <w:rFonts w:ascii="Arial" w:hAnsi="Arial" w:cs="Arial"/>
          <w:sz w:val="24"/>
          <w:szCs w:val="24"/>
          <w:shd w:val="clear" w:color="auto" w:fill="FFFFFF"/>
        </w:rPr>
        <w:t xml:space="preserve"> per la quale è stato stimato il FRL corrisponde alla categoria Terreni forestali rimanenti Terreni forestali come riportato nell'Inventario Italiano dei GHG. In particolare, l'area per la quale è stato progettato l'FRL è l'area della categoria Terreni forestali rimanenti Terreni forestali nel 2009</w:t>
      </w:r>
      <w:r w:rsidR="00DC760A">
        <w:rPr>
          <w:rFonts w:ascii="Arial" w:hAnsi="Arial" w:cs="Arial"/>
          <w:sz w:val="24"/>
          <w:szCs w:val="24"/>
          <w:shd w:val="clear" w:color="auto" w:fill="FFFFFF"/>
        </w:rPr>
        <w:t xml:space="preserve"> (NFAP</w:t>
      </w:r>
      <w:r w:rsidR="00555F8C">
        <w:rPr>
          <w:rFonts w:ascii="Arial" w:hAnsi="Arial" w:cs="Arial"/>
          <w:sz w:val="24"/>
          <w:szCs w:val="24"/>
          <w:shd w:val="clear" w:color="auto" w:fill="FFFFFF"/>
        </w:rPr>
        <w:t xml:space="preserve">, </w:t>
      </w:r>
      <w:proofErr w:type="spellStart"/>
      <w:r w:rsidR="00555F8C">
        <w:rPr>
          <w:rFonts w:ascii="Arial" w:hAnsi="Arial" w:cs="Arial"/>
          <w:sz w:val="24"/>
          <w:szCs w:val="24"/>
          <w:shd w:val="clear" w:color="auto" w:fill="FFFFFF"/>
        </w:rPr>
        <w:t>section</w:t>
      </w:r>
      <w:proofErr w:type="spellEnd"/>
      <w:r w:rsidR="00555F8C">
        <w:rPr>
          <w:rFonts w:ascii="Arial" w:hAnsi="Arial" w:cs="Arial"/>
          <w:sz w:val="24"/>
          <w:szCs w:val="24"/>
          <w:shd w:val="clear" w:color="auto" w:fill="FFFFFF"/>
        </w:rPr>
        <w:t xml:space="preserve"> 3.1.1 pag. 14)</w:t>
      </w:r>
      <w:r w:rsidR="0031481E" w:rsidRPr="0031481E">
        <w:rPr>
          <w:rFonts w:ascii="Arial" w:hAnsi="Arial" w:cs="Arial"/>
          <w:sz w:val="24"/>
          <w:szCs w:val="24"/>
          <w:shd w:val="clear" w:color="auto" w:fill="FFFFFF"/>
        </w:rPr>
        <w:t>.</w:t>
      </w:r>
    </w:p>
    <w:p w14:paraId="66B8B6B4" w14:textId="0D17885C" w:rsidR="00F1042F" w:rsidRPr="0031481E" w:rsidRDefault="00F1042F" w:rsidP="00E16D8B">
      <w:pPr>
        <w:pStyle w:val="Corpotesto"/>
        <w:ind w:right="45"/>
        <w:jc w:val="both"/>
        <w:rPr>
          <w:rFonts w:ascii="Arial" w:hAnsi="Arial" w:cs="Arial"/>
          <w:sz w:val="24"/>
          <w:szCs w:val="24"/>
        </w:rPr>
      </w:pPr>
    </w:p>
    <w:p w14:paraId="38A7C82E" w14:textId="0B01F169" w:rsidR="001A3A13" w:rsidRPr="00355955" w:rsidRDefault="00752066" w:rsidP="00076117">
      <w:pPr>
        <w:pStyle w:val="Corpotesto"/>
        <w:numPr>
          <w:ilvl w:val="0"/>
          <w:numId w:val="23"/>
        </w:numPr>
        <w:ind w:right="45"/>
        <w:jc w:val="both"/>
        <w:rPr>
          <w:rFonts w:ascii="Arial" w:hAnsi="Arial" w:cs="Arial"/>
          <w:sz w:val="24"/>
          <w:szCs w:val="24"/>
          <w:shd w:val="clear" w:color="auto" w:fill="DBDFF3"/>
        </w:rPr>
      </w:pPr>
      <w:r>
        <w:rPr>
          <w:rFonts w:ascii="Arial" w:hAnsi="Arial" w:cs="Arial"/>
          <w:sz w:val="24"/>
          <w:szCs w:val="24"/>
        </w:rPr>
        <w:t>C</w:t>
      </w:r>
      <w:r w:rsidR="0070005F">
        <w:rPr>
          <w:rFonts w:ascii="Arial" w:hAnsi="Arial" w:cs="Arial"/>
          <w:sz w:val="24"/>
          <w:szCs w:val="24"/>
        </w:rPr>
        <w:t xml:space="preserve">he </w:t>
      </w:r>
      <w:r w:rsidR="001A3A13" w:rsidRPr="0031481E">
        <w:rPr>
          <w:rFonts w:ascii="Arial" w:hAnsi="Arial" w:cs="Arial"/>
          <w:sz w:val="24"/>
          <w:szCs w:val="24"/>
        </w:rPr>
        <w:t xml:space="preserve">si prevede una graduale variazione dei tassi di raccolta su un periodo di dieci anni, con un passaggio dall'attuale utilizzo del 30-33% </w:t>
      </w:r>
      <w:r w:rsidR="007F5137">
        <w:rPr>
          <w:rFonts w:ascii="Arial" w:hAnsi="Arial" w:cs="Arial"/>
          <w:sz w:val="24"/>
          <w:szCs w:val="24"/>
        </w:rPr>
        <w:t>(nel 2019</w:t>
      </w:r>
      <w:r w:rsidR="00077573">
        <w:rPr>
          <w:rFonts w:ascii="Arial" w:hAnsi="Arial" w:cs="Arial"/>
          <w:sz w:val="24"/>
          <w:szCs w:val="24"/>
        </w:rPr>
        <w:t xml:space="preserve">) </w:t>
      </w:r>
      <w:r w:rsidR="001A3A13" w:rsidRPr="0031481E">
        <w:rPr>
          <w:rFonts w:ascii="Arial" w:hAnsi="Arial" w:cs="Arial"/>
          <w:sz w:val="24"/>
          <w:szCs w:val="24"/>
        </w:rPr>
        <w:t>dell'aumento annuale al potenziale del 40-45%</w:t>
      </w:r>
      <w:r w:rsidR="002E56FF">
        <w:rPr>
          <w:rFonts w:ascii="Arial" w:hAnsi="Arial" w:cs="Arial"/>
          <w:sz w:val="24"/>
          <w:szCs w:val="24"/>
        </w:rPr>
        <w:t xml:space="preserve"> (</w:t>
      </w:r>
      <w:r w:rsidR="002E56FF">
        <w:rPr>
          <w:rFonts w:ascii="Arial" w:hAnsi="Arial" w:cs="Arial"/>
          <w:sz w:val="24"/>
          <w:szCs w:val="24"/>
          <w:shd w:val="clear" w:color="auto" w:fill="FFFFFF"/>
        </w:rPr>
        <w:t xml:space="preserve">NFAP, </w:t>
      </w:r>
      <w:proofErr w:type="spellStart"/>
      <w:r w:rsidR="002E56FF">
        <w:rPr>
          <w:rFonts w:ascii="Arial" w:hAnsi="Arial" w:cs="Arial"/>
          <w:sz w:val="24"/>
          <w:szCs w:val="24"/>
          <w:shd w:val="clear" w:color="auto" w:fill="FFFFFF"/>
        </w:rPr>
        <w:t>section</w:t>
      </w:r>
      <w:proofErr w:type="spellEnd"/>
      <w:r w:rsidR="002E56FF">
        <w:rPr>
          <w:rFonts w:ascii="Arial" w:hAnsi="Arial" w:cs="Arial"/>
          <w:sz w:val="24"/>
          <w:szCs w:val="24"/>
          <w:shd w:val="clear" w:color="auto" w:fill="FFFFFF"/>
        </w:rPr>
        <w:t xml:space="preserve"> 2.3.2 pag. 12)</w:t>
      </w:r>
      <w:r w:rsidR="001A3A13" w:rsidRPr="0031481E">
        <w:rPr>
          <w:rFonts w:ascii="Arial" w:hAnsi="Arial" w:cs="Arial"/>
          <w:sz w:val="24"/>
          <w:szCs w:val="24"/>
        </w:rPr>
        <w:t xml:space="preserve">. </w:t>
      </w:r>
    </w:p>
    <w:p w14:paraId="71A0E3C9" w14:textId="77777777" w:rsidR="00F87DF2" w:rsidRDefault="00F87DF2" w:rsidP="00355955">
      <w:pPr>
        <w:pStyle w:val="Paragrafoelenco"/>
        <w:rPr>
          <w:rFonts w:ascii="Arial" w:hAnsi="Arial" w:cs="Arial"/>
          <w:sz w:val="24"/>
          <w:szCs w:val="24"/>
          <w:shd w:val="clear" w:color="auto" w:fill="DBDFF3"/>
        </w:rPr>
      </w:pPr>
    </w:p>
    <w:p w14:paraId="77CC3F2F" w14:textId="3A095706" w:rsidR="00F87DF2" w:rsidRPr="00355955" w:rsidRDefault="00CA2BA0" w:rsidP="00076117">
      <w:pPr>
        <w:pStyle w:val="Corpotesto"/>
        <w:numPr>
          <w:ilvl w:val="0"/>
          <w:numId w:val="23"/>
        </w:numPr>
        <w:ind w:right="45"/>
        <w:jc w:val="both"/>
        <w:rPr>
          <w:rFonts w:ascii="Arial" w:hAnsi="Arial" w:cs="Arial"/>
          <w:sz w:val="24"/>
          <w:szCs w:val="24"/>
          <w:shd w:val="clear" w:color="auto" w:fill="DBDFF3"/>
        </w:rPr>
      </w:pPr>
      <w:r w:rsidRPr="00355955">
        <w:rPr>
          <w:rFonts w:ascii="Arial" w:hAnsi="Arial" w:cs="Arial"/>
          <w:sz w:val="24"/>
          <w:szCs w:val="24"/>
        </w:rPr>
        <w:t xml:space="preserve">Che la </w:t>
      </w:r>
      <w:proofErr w:type="spellStart"/>
      <w:r w:rsidRPr="00355955">
        <w:rPr>
          <w:rFonts w:ascii="Arial" w:hAnsi="Arial" w:cs="Arial"/>
          <w:sz w:val="24"/>
          <w:szCs w:val="24"/>
        </w:rPr>
        <w:t>Managed</w:t>
      </w:r>
      <w:proofErr w:type="spellEnd"/>
      <w:r w:rsidRPr="00355955">
        <w:rPr>
          <w:rFonts w:ascii="Arial" w:hAnsi="Arial" w:cs="Arial"/>
          <w:sz w:val="24"/>
          <w:szCs w:val="24"/>
        </w:rPr>
        <w:t xml:space="preserve"> </w:t>
      </w:r>
      <w:proofErr w:type="spellStart"/>
      <w:r w:rsidRPr="00355955">
        <w:rPr>
          <w:rFonts w:ascii="Arial" w:hAnsi="Arial" w:cs="Arial"/>
          <w:sz w:val="24"/>
          <w:szCs w:val="24"/>
        </w:rPr>
        <w:t>Forest</w:t>
      </w:r>
      <w:proofErr w:type="spellEnd"/>
      <w:r w:rsidRPr="00355955">
        <w:rPr>
          <w:rFonts w:ascii="Arial" w:hAnsi="Arial" w:cs="Arial"/>
          <w:sz w:val="24"/>
          <w:szCs w:val="24"/>
        </w:rPr>
        <w:t xml:space="preserve"> Area </w:t>
      </w:r>
      <w:r w:rsidR="00355955" w:rsidRPr="00355955">
        <w:rPr>
          <w:rFonts w:ascii="Arial" w:hAnsi="Arial" w:cs="Arial"/>
          <w:sz w:val="24"/>
          <w:szCs w:val="24"/>
        </w:rPr>
        <w:t xml:space="preserve">sia costante nonostante le foreste siano in espansione. </w:t>
      </w:r>
    </w:p>
    <w:p w14:paraId="3E503CD1" w14:textId="77777777" w:rsidR="001A3A13" w:rsidRPr="00355955" w:rsidRDefault="001A3A13" w:rsidP="00E16D8B">
      <w:pPr>
        <w:pStyle w:val="Corpotesto"/>
        <w:ind w:right="45"/>
        <w:jc w:val="both"/>
        <w:rPr>
          <w:rFonts w:ascii="Arial" w:hAnsi="Arial" w:cs="Arial"/>
          <w:sz w:val="24"/>
          <w:szCs w:val="24"/>
          <w:shd w:val="clear" w:color="auto" w:fill="FFFFFF"/>
        </w:rPr>
      </w:pPr>
    </w:p>
    <w:p w14:paraId="7193CA22" w14:textId="72DA3B32" w:rsidR="001A3A13" w:rsidRDefault="00A66658" w:rsidP="003E090C">
      <w:pPr>
        <w:pStyle w:val="Corpotesto"/>
        <w:ind w:right="45" w:firstLine="567"/>
        <w:jc w:val="both"/>
        <w:rPr>
          <w:rFonts w:ascii="Arial" w:hAnsi="Arial" w:cs="Arial"/>
          <w:sz w:val="24"/>
          <w:szCs w:val="24"/>
        </w:rPr>
      </w:pPr>
      <w:r>
        <w:rPr>
          <w:rFonts w:ascii="Arial" w:hAnsi="Arial" w:cs="Arial"/>
          <w:sz w:val="24"/>
          <w:szCs w:val="24"/>
        </w:rPr>
        <w:t xml:space="preserve">La prima assunzione riprende un criterio di vecchia data utilizzato </w:t>
      </w:r>
      <w:r w:rsidR="00666EE0">
        <w:rPr>
          <w:rFonts w:ascii="Arial" w:hAnsi="Arial" w:cs="Arial"/>
          <w:sz w:val="24"/>
          <w:szCs w:val="24"/>
        </w:rPr>
        <w:t>già in passato, per ottenere una maggior quantità di crediti nell’ambito del</w:t>
      </w:r>
      <w:r w:rsidR="00E26BF1">
        <w:rPr>
          <w:rFonts w:ascii="Arial" w:hAnsi="Arial" w:cs="Arial"/>
          <w:sz w:val="24"/>
          <w:szCs w:val="24"/>
        </w:rPr>
        <w:t>la partecipazione dell’Italia ai meccanismi flessibili del Protocollo di Kyoto</w:t>
      </w:r>
      <w:r w:rsidR="00672D2B">
        <w:rPr>
          <w:rFonts w:ascii="Arial" w:hAnsi="Arial" w:cs="Arial"/>
          <w:sz w:val="24"/>
          <w:szCs w:val="24"/>
        </w:rPr>
        <w:t>. Tuttavia</w:t>
      </w:r>
      <w:r w:rsidR="003E090C">
        <w:rPr>
          <w:rFonts w:ascii="Arial" w:hAnsi="Arial" w:cs="Arial"/>
          <w:sz w:val="24"/>
          <w:szCs w:val="24"/>
        </w:rPr>
        <w:t>,</w:t>
      </w:r>
      <w:r w:rsidR="00672D2B">
        <w:rPr>
          <w:rFonts w:ascii="Arial" w:hAnsi="Arial" w:cs="Arial"/>
          <w:sz w:val="24"/>
          <w:szCs w:val="24"/>
        </w:rPr>
        <w:t xml:space="preserve"> tale affermazione non è condivisibile pienamente, perché in Italia solo una </w:t>
      </w:r>
      <w:r w:rsidR="001756BD">
        <w:rPr>
          <w:rFonts w:ascii="Arial" w:hAnsi="Arial" w:cs="Arial"/>
          <w:sz w:val="24"/>
          <w:szCs w:val="24"/>
        </w:rPr>
        <w:t>quota minoritaria delle foreste sono gestite con un Piano di Assestamento o di Indirizzo</w:t>
      </w:r>
      <w:r w:rsidR="003E090C">
        <w:rPr>
          <w:rFonts w:ascii="Arial" w:hAnsi="Arial" w:cs="Arial"/>
          <w:sz w:val="24"/>
          <w:szCs w:val="24"/>
        </w:rPr>
        <w:t xml:space="preserve">. Questi piani sono però presenti nelle </w:t>
      </w:r>
      <w:r w:rsidR="00761C08">
        <w:rPr>
          <w:rFonts w:ascii="Arial" w:hAnsi="Arial" w:cs="Arial"/>
          <w:sz w:val="24"/>
          <w:szCs w:val="24"/>
        </w:rPr>
        <w:t xml:space="preserve">tre aree di sperimentazione </w:t>
      </w:r>
      <w:r w:rsidR="003E090C">
        <w:rPr>
          <w:rFonts w:ascii="Arial" w:hAnsi="Arial" w:cs="Arial"/>
          <w:sz w:val="24"/>
          <w:szCs w:val="24"/>
        </w:rPr>
        <w:t>considerate</w:t>
      </w:r>
      <w:r w:rsidR="00761C08">
        <w:rPr>
          <w:rFonts w:ascii="Arial" w:hAnsi="Arial" w:cs="Arial"/>
          <w:sz w:val="24"/>
          <w:szCs w:val="24"/>
        </w:rPr>
        <w:t xml:space="preserve"> nel progetto</w:t>
      </w:r>
      <w:r w:rsidR="00CF7125">
        <w:rPr>
          <w:rFonts w:ascii="Arial" w:hAnsi="Arial" w:cs="Arial"/>
          <w:sz w:val="24"/>
          <w:szCs w:val="24"/>
        </w:rPr>
        <w:t xml:space="preserve"> e, qualora venissero assunti come BAU</w:t>
      </w:r>
      <w:r w:rsidR="008B60D8">
        <w:rPr>
          <w:rFonts w:ascii="Arial" w:hAnsi="Arial" w:cs="Arial"/>
          <w:sz w:val="24"/>
          <w:szCs w:val="24"/>
        </w:rPr>
        <w:t xml:space="preserve">, occorre valutare se questo non porti </w:t>
      </w:r>
      <w:r w:rsidR="00D34EA9">
        <w:rPr>
          <w:rFonts w:ascii="Arial" w:hAnsi="Arial" w:cs="Arial"/>
          <w:sz w:val="24"/>
          <w:szCs w:val="24"/>
        </w:rPr>
        <w:t>ad avere quantità di C</w:t>
      </w:r>
      <w:r w:rsidR="00E00B39">
        <w:rPr>
          <w:rFonts w:ascii="Arial" w:hAnsi="Arial" w:cs="Arial"/>
          <w:sz w:val="24"/>
          <w:szCs w:val="24"/>
        </w:rPr>
        <w:t>O</w:t>
      </w:r>
      <w:r w:rsidR="00E00B39" w:rsidRPr="00423453">
        <w:rPr>
          <w:rFonts w:ascii="Arial" w:hAnsi="Arial" w:cs="Arial"/>
          <w:sz w:val="24"/>
          <w:szCs w:val="24"/>
          <w:vertAlign w:val="subscript"/>
        </w:rPr>
        <w:t>2</w:t>
      </w:r>
      <w:r w:rsidR="00D34EA9">
        <w:rPr>
          <w:rFonts w:ascii="Arial" w:hAnsi="Arial" w:cs="Arial"/>
          <w:sz w:val="24"/>
          <w:szCs w:val="24"/>
        </w:rPr>
        <w:t xml:space="preserve"> stoccata addizionale tr</w:t>
      </w:r>
      <w:r w:rsidR="003B1781">
        <w:rPr>
          <w:rFonts w:ascii="Arial" w:hAnsi="Arial" w:cs="Arial"/>
          <w:sz w:val="24"/>
          <w:szCs w:val="24"/>
        </w:rPr>
        <w:t>oppo limitate per un livello eccessivamente alto del BAU o, al contrario</w:t>
      </w:r>
      <w:r w:rsidR="00CA71F9">
        <w:rPr>
          <w:rFonts w:ascii="Arial" w:hAnsi="Arial" w:cs="Arial"/>
          <w:sz w:val="24"/>
          <w:szCs w:val="24"/>
        </w:rPr>
        <w:t xml:space="preserve"> vi è un vantaggio generato dalla gestione forestale effettiva sviluppata. Nel qual caso, nella prospettiva di una replicabilità del </w:t>
      </w:r>
      <w:r w:rsidR="00E633BE">
        <w:rPr>
          <w:rFonts w:ascii="Arial" w:hAnsi="Arial" w:cs="Arial"/>
          <w:sz w:val="24"/>
          <w:szCs w:val="24"/>
        </w:rPr>
        <w:t xml:space="preserve">sistema di gestone dei servizi PES e dei crediti ecosistemici, potrebbero essere altre aree ad avere </w:t>
      </w:r>
      <w:r w:rsidR="003D4CB0">
        <w:rPr>
          <w:rFonts w:ascii="Arial" w:hAnsi="Arial" w:cs="Arial"/>
          <w:sz w:val="24"/>
          <w:szCs w:val="24"/>
        </w:rPr>
        <w:t xml:space="preserve">difficoltà in futuro, in quanto gli viene assegnato un BAU elevato senza che sia effettivamente conseguito. </w:t>
      </w:r>
      <w:r w:rsidR="004A26A5">
        <w:rPr>
          <w:rFonts w:ascii="Arial" w:hAnsi="Arial" w:cs="Arial"/>
          <w:sz w:val="24"/>
          <w:szCs w:val="24"/>
        </w:rPr>
        <w:t xml:space="preserve">Il problema va approfondito con </w:t>
      </w:r>
      <w:r w:rsidR="0008152D">
        <w:rPr>
          <w:rFonts w:ascii="Arial" w:hAnsi="Arial" w:cs="Arial"/>
          <w:sz w:val="24"/>
          <w:szCs w:val="24"/>
        </w:rPr>
        <w:t xml:space="preserve">delle analisi di confronto tra </w:t>
      </w:r>
      <w:r w:rsidR="00AF2DFC">
        <w:rPr>
          <w:rFonts w:ascii="Arial" w:hAnsi="Arial" w:cs="Arial"/>
          <w:sz w:val="24"/>
          <w:szCs w:val="24"/>
        </w:rPr>
        <w:t>i diversi approcci al BAU e alla luce del fatto che il NFAP è comunque un documento ufficiale approvato</w:t>
      </w:r>
      <w:r w:rsidR="00B80DAC">
        <w:rPr>
          <w:rFonts w:ascii="Arial" w:hAnsi="Arial" w:cs="Arial"/>
          <w:sz w:val="24"/>
          <w:szCs w:val="24"/>
        </w:rPr>
        <w:t xml:space="preserve"> non solo a livello nazionale ma anche</w:t>
      </w:r>
      <w:r w:rsidR="00AF2DFC">
        <w:rPr>
          <w:rFonts w:ascii="Arial" w:hAnsi="Arial" w:cs="Arial"/>
          <w:sz w:val="24"/>
          <w:szCs w:val="24"/>
        </w:rPr>
        <w:t xml:space="preserve"> dalla Commissione Europea</w:t>
      </w:r>
      <w:r w:rsidR="00295359">
        <w:rPr>
          <w:rStyle w:val="Rimandonotaapidipagina"/>
          <w:rFonts w:ascii="Arial" w:hAnsi="Arial" w:cs="Arial"/>
          <w:sz w:val="24"/>
          <w:szCs w:val="24"/>
        </w:rPr>
        <w:footnoteReference w:id="55"/>
      </w:r>
      <w:r w:rsidR="00AF2DFC">
        <w:rPr>
          <w:rFonts w:ascii="Arial" w:hAnsi="Arial" w:cs="Arial"/>
          <w:sz w:val="24"/>
          <w:szCs w:val="24"/>
        </w:rPr>
        <w:t xml:space="preserve">. </w:t>
      </w:r>
    </w:p>
    <w:p w14:paraId="0CFA65AA" w14:textId="369C3C52" w:rsidR="006B59C1" w:rsidRDefault="006B59C1" w:rsidP="003E090C">
      <w:pPr>
        <w:pStyle w:val="Corpotesto"/>
        <w:ind w:right="45" w:firstLine="567"/>
        <w:jc w:val="both"/>
        <w:rPr>
          <w:rFonts w:ascii="Arial" w:hAnsi="Arial" w:cs="Arial"/>
          <w:sz w:val="24"/>
          <w:szCs w:val="24"/>
        </w:rPr>
      </w:pPr>
      <w:r>
        <w:rPr>
          <w:rFonts w:ascii="Arial" w:hAnsi="Arial" w:cs="Arial"/>
          <w:sz w:val="24"/>
          <w:szCs w:val="24"/>
        </w:rPr>
        <w:t xml:space="preserve">Per quanto riguarda l’assunzione che </w:t>
      </w:r>
      <w:r w:rsidR="00BE2EA0">
        <w:rPr>
          <w:rFonts w:ascii="Arial" w:hAnsi="Arial" w:cs="Arial"/>
          <w:sz w:val="24"/>
          <w:szCs w:val="24"/>
        </w:rPr>
        <w:t xml:space="preserve">il tasso di prelievo </w:t>
      </w:r>
      <w:r w:rsidR="00601983">
        <w:rPr>
          <w:rFonts w:ascii="Arial" w:hAnsi="Arial" w:cs="Arial"/>
          <w:sz w:val="24"/>
          <w:szCs w:val="24"/>
        </w:rPr>
        <w:t>potrebbe i</w:t>
      </w:r>
      <w:r w:rsidR="000E41EB">
        <w:rPr>
          <w:rFonts w:ascii="Arial" w:hAnsi="Arial" w:cs="Arial"/>
          <w:sz w:val="24"/>
          <w:szCs w:val="24"/>
        </w:rPr>
        <w:t>ncrementare dall’attuale 30-33% al 40-45%</w:t>
      </w:r>
      <w:r w:rsidR="000D531D">
        <w:rPr>
          <w:rFonts w:ascii="Arial" w:hAnsi="Arial" w:cs="Arial"/>
          <w:sz w:val="24"/>
          <w:szCs w:val="24"/>
        </w:rPr>
        <w:t>, in una</w:t>
      </w:r>
      <w:r w:rsidR="00423453">
        <w:rPr>
          <w:rFonts w:ascii="Arial" w:hAnsi="Arial" w:cs="Arial"/>
          <w:sz w:val="24"/>
          <w:szCs w:val="24"/>
        </w:rPr>
        <w:t xml:space="preserve"> delle tre aree considerate (Fusine) si è vicini al 50%</w:t>
      </w:r>
      <w:r w:rsidR="008E01F2">
        <w:rPr>
          <w:rFonts w:ascii="Arial" w:hAnsi="Arial" w:cs="Arial"/>
          <w:sz w:val="24"/>
          <w:szCs w:val="24"/>
        </w:rPr>
        <w:t xml:space="preserve"> mentre nelle altre due il livello è assai inferiore (non oltre il 10%)</w:t>
      </w:r>
      <w:r w:rsidR="000D531D">
        <w:rPr>
          <w:rFonts w:ascii="Arial" w:hAnsi="Arial" w:cs="Arial"/>
          <w:sz w:val="24"/>
          <w:szCs w:val="24"/>
        </w:rPr>
        <w:t xml:space="preserve">. </w:t>
      </w:r>
    </w:p>
    <w:p w14:paraId="4B734335" w14:textId="3A83ABB4" w:rsidR="0034115D" w:rsidRPr="002E56FF" w:rsidRDefault="00A85FC2" w:rsidP="00C86004">
      <w:pPr>
        <w:pStyle w:val="Corpotesto"/>
        <w:ind w:right="45" w:firstLine="567"/>
        <w:jc w:val="both"/>
        <w:rPr>
          <w:rFonts w:ascii="Arial" w:hAnsi="Arial" w:cs="Arial"/>
          <w:color w:val="000000"/>
          <w:sz w:val="24"/>
          <w:szCs w:val="24"/>
          <w:shd w:val="clear" w:color="auto" w:fill="DBDFF3"/>
        </w:rPr>
      </w:pPr>
      <w:r>
        <w:rPr>
          <w:rFonts w:ascii="Arial" w:hAnsi="Arial" w:cs="Arial"/>
          <w:sz w:val="24"/>
          <w:szCs w:val="24"/>
        </w:rPr>
        <w:lastRenderedPageBreak/>
        <w:t>Con riferimento a quest’ultimo aspetto</w:t>
      </w:r>
      <w:r w:rsidR="00864FE3">
        <w:rPr>
          <w:rFonts w:ascii="Arial" w:hAnsi="Arial" w:cs="Arial"/>
          <w:sz w:val="24"/>
          <w:szCs w:val="24"/>
        </w:rPr>
        <w:t xml:space="preserve"> si ritiene utile riportare le assunzioni specifiche effettuate nel NFAP Italiano</w:t>
      </w:r>
      <w:r w:rsidR="002D550B">
        <w:rPr>
          <w:rFonts w:ascii="Arial" w:hAnsi="Arial" w:cs="Arial"/>
          <w:sz w:val="24"/>
          <w:szCs w:val="24"/>
        </w:rPr>
        <w:t>.</w:t>
      </w:r>
      <w:r w:rsidR="00C86004">
        <w:rPr>
          <w:rFonts w:ascii="Arial" w:hAnsi="Arial" w:cs="Arial"/>
          <w:sz w:val="24"/>
          <w:szCs w:val="24"/>
        </w:rPr>
        <w:t xml:space="preserve"> </w:t>
      </w:r>
      <w:r w:rsidR="0034115D" w:rsidRPr="002E56FF">
        <w:rPr>
          <w:rFonts w:ascii="Arial" w:hAnsi="Arial" w:cs="Arial"/>
          <w:color w:val="000000"/>
          <w:sz w:val="24"/>
          <w:szCs w:val="24"/>
        </w:rPr>
        <w:t xml:space="preserve">Per il periodo 2010-2025, l'ipotesi </w:t>
      </w:r>
      <w:r w:rsidR="00EA0B5F" w:rsidRPr="002E56FF">
        <w:rPr>
          <w:rFonts w:ascii="Arial" w:hAnsi="Arial" w:cs="Arial"/>
          <w:color w:val="000000"/>
          <w:sz w:val="24"/>
          <w:szCs w:val="24"/>
        </w:rPr>
        <w:t>di default</w:t>
      </w:r>
      <w:r w:rsidR="0034115D" w:rsidRPr="002E56FF">
        <w:rPr>
          <w:rFonts w:ascii="Arial" w:hAnsi="Arial" w:cs="Arial"/>
          <w:color w:val="000000"/>
          <w:sz w:val="24"/>
          <w:szCs w:val="24"/>
        </w:rPr>
        <w:t xml:space="preserve"> definita nel regolamento UE è la continuazione delle attuali pratiche di gestione delle foreste verificatesi nel periodo di riferimento 2000-2009. </w:t>
      </w:r>
      <w:r w:rsidR="006249ED" w:rsidRPr="002E56FF">
        <w:rPr>
          <w:rFonts w:ascii="Arial" w:hAnsi="Arial" w:cs="Arial"/>
          <w:color w:val="000000"/>
          <w:sz w:val="24"/>
          <w:szCs w:val="24"/>
        </w:rPr>
        <w:t>In coerenza con questa ipotesi</w:t>
      </w:r>
      <w:r w:rsidR="00C86004">
        <w:rPr>
          <w:rFonts w:ascii="Arial" w:hAnsi="Arial" w:cs="Arial"/>
          <w:color w:val="000000"/>
          <w:sz w:val="24"/>
          <w:szCs w:val="24"/>
        </w:rPr>
        <w:t>, nel NFAP sono stati adottati i seguenti criteri</w:t>
      </w:r>
      <w:r w:rsidR="0034115D" w:rsidRPr="002E56FF">
        <w:rPr>
          <w:rFonts w:ascii="Arial" w:hAnsi="Arial" w:cs="Arial"/>
          <w:color w:val="000000"/>
          <w:sz w:val="24"/>
          <w:szCs w:val="24"/>
        </w:rPr>
        <w:t>:</w:t>
      </w:r>
      <w:r w:rsidR="00C34A17" w:rsidRPr="002E56FF">
        <w:rPr>
          <w:rFonts w:ascii="Arial" w:hAnsi="Arial" w:cs="Arial"/>
          <w:color w:val="000000"/>
          <w:sz w:val="24"/>
          <w:szCs w:val="24"/>
        </w:rPr>
        <w:t xml:space="preserve"> </w:t>
      </w:r>
    </w:p>
    <w:p w14:paraId="014010B1" w14:textId="063D1EE4" w:rsidR="0034115D" w:rsidRPr="002E56FF" w:rsidRDefault="007671B5" w:rsidP="00076117">
      <w:pPr>
        <w:pStyle w:val="Corpotesto"/>
        <w:numPr>
          <w:ilvl w:val="0"/>
          <w:numId w:val="20"/>
        </w:numPr>
        <w:ind w:right="45"/>
        <w:jc w:val="both"/>
        <w:rPr>
          <w:rFonts w:ascii="Arial" w:hAnsi="Arial" w:cs="Arial"/>
          <w:color w:val="000000"/>
          <w:sz w:val="24"/>
          <w:szCs w:val="24"/>
          <w:shd w:val="clear" w:color="auto" w:fill="FFFFFF"/>
        </w:rPr>
      </w:pPr>
      <w:r w:rsidRPr="002E56FF">
        <w:rPr>
          <w:rFonts w:ascii="Arial" w:hAnsi="Arial" w:cs="Arial"/>
          <w:color w:val="000000"/>
          <w:sz w:val="24"/>
          <w:szCs w:val="24"/>
          <w:shd w:val="clear" w:color="auto" w:fill="FFFFFF"/>
        </w:rPr>
        <w:t>I</w:t>
      </w:r>
      <w:r w:rsidR="0034115D" w:rsidRPr="002E56FF">
        <w:rPr>
          <w:rFonts w:ascii="Arial" w:hAnsi="Arial" w:cs="Arial"/>
          <w:color w:val="000000"/>
          <w:sz w:val="24"/>
          <w:szCs w:val="24"/>
          <w:shd w:val="clear" w:color="auto" w:fill="FFFFFF"/>
        </w:rPr>
        <w:t xml:space="preserve"> </w:t>
      </w:r>
      <w:proofErr w:type="spellStart"/>
      <w:r w:rsidR="0034115D" w:rsidRPr="002E56FF">
        <w:rPr>
          <w:rFonts w:ascii="Arial" w:hAnsi="Arial" w:cs="Arial"/>
          <w:color w:val="000000"/>
          <w:sz w:val="24"/>
          <w:szCs w:val="24"/>
          <w:shd w:val="clear" w:color="auto" w:fill="FFFFFF"/>
        </w:rPr>
        <w:t>F</w:t>
      </w:r>
      <w:r w:rsidR="00E14D01" w:rsidRPr="002E56FF">
        <w:rPr>
          <w:rFonts w:ascii="Arial" w:hAnsi="Arial" w:cs="Arial"/>
          <w:color w:val="000000"/>
          <w:sz w:val="24"/>
          <w:szCs w:val="24"/>
          <w:shd w:val="clear" w:color="auto" w:fill="FFFFFF"/>
        </w:rPr>
        <w:t>orest</w:t>
      </w:r>
      <w:proofErr w:type="spellEnd"/>
      <w:r w:rsidR="00E14D01" w:rsidRPr="002E56FF">
        <w:rPr>
          <w:rFonts w:ascii="Arial" w:hAnsi="Arial" w:cs="Arial"/>
          <w:color w:val="000000"/>
          <w:sz w:val="24"/>
          <w:szCs w:val="24"/>
          <w:shd w:val="clear" w:color="auto" w:fill="FFFFFF"/>
        </w:rPr>
        <w:t xml:space="preserve"> Management Plan (</w:t>
      </w:r>
      <w:r w:rsidR="00695CD3">
        <w:rPr>
          <w:rFonts w:ascii="Arial" w:hAnsi="Arial" w:cs="Arial"/>
          <w:color w:val="000000"/>
          <w:sz w:val="24"/>
          <w:szCs w:val="24"/>
          <w:shd w:val="clear" w:color="auto" w:fill="FFFFFF"/>
        </w:rPr>
        <w:t>FMP</w:t>
      </w:r>
      <w:r w:rsidR="00E14D01" w:rsidRPr="002E56FF">
        <w:rPr>
          <w:rFonts w:ascii="Arial" w:hAnsi="Arial" w:cs="Arial"/>
          <w:color w:val="000000"/>
          <w:sz w:val="24"/>
          <w:szCs w:val="24"/>
          <w:shd w:val="clear" w:color="auto" w:fill="FFFFFF"/>
        </w:rPr>
        <w:t>)</w:t>
      </w:r>
      <w:r w:rsidR="0034115D" w:rsidRPr="002E56FF">
        <w:rPr>
          <w:rFonts w:ascii="Arial" w:hAnsi="Arial" w:cs="Arial"/>
          <w:color w:val="000000"/>
          <w:sz w:val="24"/>
          <w:szCs w:val="24"/>
          <w:shd w:val="clear" w:color="auto" w:fill="FFFFFF"/>
        </w:rPr>
        <w:t xml:space="preserve"> sono stati caratterizzati da un rapporto di raccolta annuale specifico per l'FMP, vale a dire il quantitativo di raccolto (m</w:t>
      </w:r>
      <w:r w:rsidR="0034115D" w:rsidRPr="00423453">
        <w:rPr>
          <w:rFonts w:ascii="Arial" w:hAnsi="Arial" w:cs="Arial"/>
          <w:color w:val="000000"/>
          <w:sz w:val="24"/>
          <w:szCs w:val="24"/>
          <w:shd w:val="clear" w:color="auto" w:fill="FFFFFF"/>
          <w:vertAlign w:val="superscript"/>
        </w:rPr>
        <w:t>3</w:t>
      </w:r>
      <w:r w:rsidR="0034115D" w:rsidRPr="002E56FF">
        <w:rPr>
          <w:rFonts w:ascii="Arial" w:hAnsi="Arial" w:cs="Arial"/>
          <w:color w:val="000000"/>
          <w:sz w:val="24"/>
          <w:szCs w:val="24"/>
          <w:shd w:val="clear" w:color="auto" w:fill="FFFFFF"/>
        </w:rPr>
        <w:t>) per lo stock di biomassa vegetale (t C), derivato dai dati raccolti nel periodo 2000-2009.</w:t>
      </w:r>
    </w:p>
    <w:p w14:paraId="444D621D" w14:textId="6FC12AB4" w:rsidR="0034115D" w:rsidRPr="002E56FF" w:rsidRDefault="0034115D" w:rsidP="00076117">
      <w:pPr>
        <w:pStyle w:val="Corpotesto"/>
        <w:numPr>
          <w:ilvl w:val="0"/>
          <w:numId w:val="20"/>
        </w:numPr>
        <w:ind w:right="45"/>
        <w:jc w:val="both"/>
        <w:rPr>
          <w:rFonts w:ascii="Arial" w:hAnsi="Arial" w:cs="Arial"/>
          <w:color w:val="000000"/>
          <w:sz w:val="24"/>
          <w:szCs w:val="24"/>
          <w:shd w:val="clear" w:color="auto" w:fill="FFFFFF"/>
        </w:rPr>
      </w:pPr>
      <w:r w:rsidRPr="002E56FF">
        <w:rPr>
          <w:rFonts w:ascii="Arial" w:hAnsi="Arial" w:cs="Arial"/>
          <w:color w:val="000000"/>
          <w:sz w:val="24"/>
          <w:szCs w:val="24"/>
          <w:shd w:val="clear" w:color="auto" w:fill="FFFFFF"/>
        </w:rPr>
        <w:t xml:space="preserve">I quantitativi </w:t>
      </w:r>
      <w:r w:rsidR="00CE46AE" w:rsidRPr="002E56FF">
        <w:rPr>
          <w:rFonts w:ascii="Arial" w:hAnsi="Arial" w:cs="Arial"/>
          <w:color w:val="000000"/>
          <w:sz w:val="24"/>
          <w:szCs w:val="24"/>
          <w:shd w:val="clear" w:color="auto" w:fill="FFFFFF"/>
        </w:rPr>
        <w:t>di legno raccolti</w:t>
      </w:r>
      <w:r w:rsidRPr="002E56FF">
        <w:rPr>
          <w:rFonts w:ascii="Arial" w:hAnsi="Arial" w:cs="Arial"/>
          <w:color w:val="000000"/>
          <w:sz w:val="24"/>
          <w:szCs w:val="24"/>
          <w:shd w:val="clear" w:color="auto" w:fill="FFFFFF"/>
        </w:rPr>
        <w:t xml:space="preserve"> per il periodo 2010-2025 sono calcolati per ciascun FMP in ciascuna regione/provincia moltiplicando la biomassa vegetale (t C) dell'anno per il rapporto di raccolta specifico del FMP.</w:t>
      </w:r>
    </w:p>
    <w:p w14:paraId="09B7D194" w14:textId="21BDC977" w:rsidR="00C34A17" w:rsidRPr="002E56FF" w:rsidRDefault="002C29ED" w:rsidP="00076117">
      <w:pPr>
        <w:pStyle w:val="Corpotesto"/>
        <w:numPr>
          <w:ilvl w:val="0"/>
          <w:numId w:val="20"/>
        </w:numPr>
        <w:ind w:right="45"/>
        <w:jc w:val="both"/>
        <w:rPr>
          <w:rFonts w:ascii="Arial" w:hAnsi="Arial" w:cs="Arial"/>
          <w:color w:val="000000"/>
          <w:sz w:val="24"/>
          <w:szCs w:val="24"/>
          <w:shd w:val="clear" w:color="auto" w:fill="DBDFF3"/>
        </w:rPr>
      </w:pPr>
      <w:r w:rsidRPr="002E56FF">
        <w:rPr>
          <w:rFonts w:ascii="Arial" w:hAnsi="Arial" w:cs="Arial"/>
          <w:color w:val="000000"/>
          <w:sz w:val="24"/>
          <w:szCs w:val="24"/>
        </w:rPr>
        <w:t>I</w:t>
      </w:r>
      <w:r w:rsidR="00950B9C" w:rsidRPr="002E56FF">
        <w:rPr>
          <w:rFonts w:ascii="Arial" w:hAnsi="Arial" w:cs="Arial"/>
          <w:color w:val="000000"/>
          <w:sz w:val="24"/>
          <w:szCs w:val="24"/>
        </w:rPr>
        <w:t xml:space="preserve">l legno </w:t>
      </w:r>
      <w:r w:rsidR="00DE5765" w:rsidRPr="002E56FF">
        <w:rPr>
          <w:rFonts w:ascii="Arial" w:hAnsi="Arial" w:cs="Arial"/>
          <w:color w:val="000000"/>
          <w:sz w:val="24"/>
          <w:szCs w:val="24"/>
        </w:rPr>
        <w:t>raccolto per i</w:t>
      </w:r>
      <w:r w:rsidRPr="002E56FF">
        <w:rPr>
          <w:rFonts w:ascii="Arial" w:hAnsi="Arial" w:cs="Arial"/>
          <w:color w:val="000000"/>
          <w:sz w:val="24"/>
          <w:szCs w:val="24"/>
        </w:rPr>
        <w:t xml:space="preserve"> Prodotti Legno</w:t>
      </w:r>
      <w:r w:rsidR="00DD69D6" w:rsidRPr="002E56FF">
        <w:rPr>
          <w:rFonts w:ascii="Arial" w:hAnsi="Arial" w:cs="Arial"/>
          <w:color w:val="000000"/>
          <w:sz w:val="24"/>
          <w:szCs w:val="24"/>
        </w:rPr>
        <w:t>si</w:t>
      </w:r>
      <w:r w:rsidR="00401F02" w:rsidRPr="002E56FF">
        <w:rPr>
          <w:rStyle w:val="Rimandonotaapidipagina"/>
          <w:rFonts w:ascii="Arial" w:hAnsi="Arial" w:cs="Arial"/>
          <w:color w:val="000000"/>
          <w:sz w:val="24"/>
          <w:szCs w:val="24"/>
        </w:rPr>
        <w:footnoteReference w:id="56"/>
      </w:r>
      <w:r w:rsidR="00C34A17" w:rsidRPr="002E56FF">
        <w:rPr>
          <w:rFonts w:ascii="Arial" w:hAnsi="Arial" w:cs="Arial"/>
          <w:color w:val="000000"/>
          <w:sz w:val="24"/>
          <w:szCs w:val="24"/>
        </w:rPr>
        <w:t xml:space="preserve"> </w:t>
      </w:r>
      <w:r w:rsidR="00DE5765" w:rsidRPr="002E56FF">
        <w:rPr>
          <w:rFonts w:ascii="Arial" w:hAnsi="Arial" w:cs="Arial"/>
          <w:color w:val="000000"/>
          <w:sz w:val="24"/>
          <w:szCs w:val="24"/>
        </w:rPr>
        <w:t>è</w:t>
      </w:r>
      <w:r w:rsidR="00C34A17" w:rsidRPr="002E56FF">
        <w:rPr>
          <w:rFonts w:ascii="Arial" w:hAnsi="Arial" w:cs="Arial"/>
          <w:color w:val="000000"/>
          <w:sz w:val="24"/>
          <w:szCs w:val="24"/>
        </w:rPr>
        <w:t xml:space="preserve"> stat</w:t>
      </w:r>
      <w:r w:rsidR="00DE5765" w:rsidRPr="002E56FF">
        <w:rPr>
          <w:rFonts w:ascii="Arial" w:hAnsi="Arial" w:cs="Arial"/>
          <w:color w:val="000000"/>
          <w:sz w:val="24"/>
          <w:szCs w:val="24"/>
        </w:rPr>
        <w:t>o</w:t>
      </w:r>
      <w:r w:rsidR="00C34A17" w:rsidRPr="002E56FF">
        <w:rPr>
          <w:rFonts w:ascii="Arial" w:hAnsi="Arial" w:cs="Arial"/>
          <w:color w:val="000000"/>
          <w:sz w:val="24"/>
          <w:szCs w:val="24"/>
        </w:rPr>
        <w:t xml:space="preserve"> </w:t>
      </w:r>
      <w:r w:rsidR="00B37CAA" w:rsidRPr="002E56FF">
        <w:rPr>
          <w:rFonts w:ascii="Arial" w:hAnsi="Arial" w:cs="Arial"/>
          <w:color w:val="000000"/>
          <w:sz w:val="24"/>
          <w:szCs w:val="24"/>
        </w:rPr>
        <w:t>definit</w:t>
      </w:r>
      <w:r w:rsidR="00DE5765" w:rsidRPr="002E56FF">
        <w:rPr>
          <w:rFonts w:ascii="Arial" w:hAnsi="Arial" w:cs="Arial"/>
          <w:color w:val="000000"/>
          <w:sz w:val="24"/>
          <w:szCs w:val="24"/>
        </w:rPr>
        <w:t>o</w:t>
      </w:r>
      <w:r w:rsidR="00B37CAA" w:rsidRPr="002E56FF">
        <w:rPr>
          <w:rFonts w:ascii="Arial" w:hAnsi="Arial" w:cs="Arial"/>
          <w:color w:val="000000"/>
          <w:sz w:val="24"/>
          <w:szCs w:val="24"/>
        </w:rPr>
        <w:t xml:space="preserve"> mediante</w:t>
      </w:r>
      <w:r w:rsidR="00C34A17" w:rsidRPr="002E56FF">
        <w:rPr>
          <w:rFonts w:ascii="Arial" w:hAnsi="Arial" w:cs="Arial"/>
          <w:color w:val="000000"/>
          <w:sz w:val="24"/>
          <w:szCs w:val="24"/>
        </w:rPr>
        <w:t xml:space="preserve"> un</w:t>
      </w:r>
      <w:r w:rsidR="00EE25B3" w:rsidRPr="002E56FF">
        <w:rPr>
          <w:rFonts w:ascii="Arial" w:hAnsi="Arial" w:cs="Arial"/>
          <w:color w:val="000000"/>
          <w:sz w:val="24"/>
          <w:szCs w:val="24"/>
        </w:rPr>
        <w:t>o specifico</w:t>
      </w:r>
      <w:r w:rsidR="00C34A17" w:rsidRPr="002E56FF">
        <w:rPr>
          <w:rFonts w:ascii="Arial" w:hAnsi="Arial" w:cs="Arial"/>
          <w:color w:val="000000"/>
          <w:sz w:val="24"/>
          <w:szCs w:val="24"/>
        </w:rPr>
        <w:t xml:space="preserve"> rapporto di afflusso annuale</w:t>
      </w:r>
      <w:r w:rsidR="00A270B0" w:rsidRPr="002E56FF">
        <w:rPr>
          <w:rFonts w:ascii="Arial" w:hAnsi="Arial" w:cs="Arial"/>
          <w:color w:val="000000"/>
          <w:sz w:val="24"/>
          <w:szCs w:val="24"/>
        </w:rPr>
        <w:t>:</w:t>
      </w:r>
      <w:r w:rsidR="00C34A17" w:rsidRPr="002E56FF">
        <w:rPr>
          <w:rFonts w:ascii="Arial" w:hAnsi="Arial" w:cs="Arial"/>
          <w:color w:val="000000"/>
          <w:sz w:val="24"/>
          <w:szCs w:val="24"/>
        </w:rPr>
        <w:t xml:space="preserve"> l'afflusso di </w:t>
      </w:r>
      <w:r w:rsidR="00DE5765" w:rsidRPr="002E56FF">
        <w:rPr>
          <w:rFonts w:ascii="Arial" w:hAnsi="Arial" w:cs="Arial"/>
          <w:color w:val="000000"/>
          <w:sz w:val="24"/>
          <w:szCs w:val="24"/>
        </w:rPr>
        <w:t xml:space="preserve">Legno </w:t>
      </w:r>
      <w:r w:rsidR="00C34A17" w:rsidRPr="002E56FF">
        <w:rPr>
          <w:rFonts w:ascii="Arial" w:hAnsi="Arial" w:cs="Arial"/>
          <w:color w:val="000000"/>
          <w:sz w:val="24"/>
          <w:szCs w:val="24"/>
        </w:rPr>
        <w:t>(t C)</w:t>
      </w:r>
      <w:r w:rsidR="00FC0D8E" w:rsidRPr="002E56FF">
        <w:rPr>
          <w:rFonts w:ascii="Arial" w:hAnsi="Arial" w:cs="Arial"/>
          <w:color w:val="000000"/>
          <w:sz w:val="24"/>
          <w:szCs w:val="24"/>
        </w:rPr>
        <w:t xml:space="preserve"> per ogni tipologia di Prodotto Legnoso</w:t>
      </w:r>
      <w:r w:rsidR="00833D65" w:rsidRPr="002E56FF">
        <w:rPr>
          <w:rStyle w:val="Rimandonotaapidipagina"/>
          <w:rFonts w:ascii="Arial" w:hAnsi="Arial" w:cs="Arial"/>
          <w:color w:val="000000"/>
          <w:sz w:val="24"/>
          <w:szCs w:val="24"/>
        </w:rPr>
        <w:footnoteReference w:id="57"/>
      </w:r>
      <w:r w:rsidR="00C34A17" w:rsidRPr="002E56FF">
        <w:rPr>
          <w:rFonts w:ascii="Arial" w:hAnsi="Arial" w:cs="Arial"/>
          <w:color w:val="000000"/>
          <w:sz w:val="24"/>
          <w:szCs w:val="24"/>
        </w:rPr>
        <w:t xml:space="preserve"> </w:t>
      </w:r>
      <w:r w:rsidR="003472B4" w:rsidRPr="002E56FF">
        <w:rPr>
          <w:rFonts w:ascii="Arial" w:hAnsi="Arial" w:cs="Arial"/>
          <w:color w:val="000000"/>
          <w:sz w:val="24"/>
          <w:szCs w:val="24"/>
        </w:rPr>
        <w:t>derivante</w:t>
      </w:r>
      <w:r w:rsidR="00786567" w:rsidRPr="002E56FF">
        <w:rPr>
          <w:rFonts w:ascii="Arial" w:hAnsi="Arial" w:cs="Arial"/>
          <w:color w:val="000000"/>
          <w:sz w:val="24"/>
          <w:szCs w:val="24"/>
        </w:rPr>
        <w:t xml:space="preserve"> </w:t>
      </w:r>
      <w:r w:rsidR="001A2A29" w:rsidRPr="002E56FF">
        <w:rPr>
          <w:rFonts w:ascii="Arial" w:hAnsi="Arial" w:cs="Arial"/>
          <w:color w:val="000000"/>
          <w:sz w:val="24"/>
          <w:szCs w:val="24"/>
        </w:rPr>
        <w:t>d</w:t>
      </w:r>
      <w:r w:rsidR="00C34A17" w:rsidRPr="002E56FF">
        <w:rPr>
          <w:rFonts w:ascii="Arial" w:hAnsi="Arial" w:cs="Arial"/>
          <w:color w:val="000000"/>
          <w:sz w:val="24"/>
          <w:szCs w:val="24"/>
        </w:rPr>
        <w:t xml:space="preserve">alla quantità di raccolto nelle </w:t>
      </w:r>
      <w:r w:rsidR="00D75741" w:rsidRPr="002E56FF">
        <w:rPr>
          <w:rFonts w:ascii="Arial" w:hAnsi="Arial" w:cs="Arial"/>
          <w:color w:val="000000"/>
          <w:sz w:val="24"/>
          <w:szCs w:val="24"/>
        </w:rPr>
        <w:t>foreste</w:t>
      </w:r>
      <w:r w:rsidR="00C34A17" w:rsidRPr="002E56FF">
        <w:rPr>
          <w:rFonts w:ascii="Arial" w:hAnsi="Arial" w:cs="Arial"/>
          <w:color w:val="000000"/>
          <w:sz w:val="24"/>
          <w:szCs w:val="24"/>
        </w:rPr>
        <w:t xml:space="preserve"> e nelle piantagioni</w:t>
      </w:r>
      <w:r w:rsidR="00D75741" w:rsidRPr="002E56FF">
        <w:rPr>
          <w:rFonts w:ascii="Arial" w:hAnsi="Arial" w:cs="Arial"/>
          <w:color w:val="000000"/>
          <w:sz w:val="24"/>
          <w:szCs w:val="24"/>
        </w:rPr>
        <w:t xml:space="preserve"> forestali</w:t>
      </w:r>
      <w:r w:rsidR="00C34A17" w:rsidRPr="002E56FF">
        <w:rPr>
          <w:rFonts w:ascii="Arial" w:hAnsi="Arial" w:cs="Arial"/>
          <w:color w:val="000000"/>
          <w:sz w:val="24"/>
          <w:szCs w:val="24"/>
        </w:rPr>
        <w:t xml:space="preserve"> </w:t>
      </w:r>
      <w:r w:rsidR="00D75741" w:rsidRPr="002E56FF">
        <w:rPr>
          <w:rFonts w:ascii="Arial" w:hAnsi="Arial" w:cs="Arial"/>
          <w:color w:val="000000"/>
          <w:sz w:val="24"/>
          <w:szCs w:val="24"/>
        </w:rPr>
        <w:t xml:space="preserve">in termini di </w:t>
      </w:r>
      <w:r w:rsidR="00C34A17" w:rsidRPr="002E56FF">
        <w:rPr>
          <w:rFonts w:ascii="Arial" w:hAnsi="Arial" w:cs="Arial"/>
          <w:color w:val="000000"/>
          <w:sz w:val="24"/>
          <w:szCs w:val="24"/>
        </w:rPr>
        <w:t>m</w:t>
      </w:r>
      <w:r w:rsidR="00C34A17" w:rsidRPr="00423453">
        <w:rPr>
          <w:rFonts w:ascii="Arial" w:hAnsi="Arial" w:cs="Arial"/>
          <w:color w:val="000000"/>
          <w:sz w:val="24"/>
          <w:szCs w:val="24"/>
          <w:vertAlign w:val="superscript"/>
        </w:rPr>
        <w:t>3</w:t>
      </w:r>
      <w:r w:rsidR="006558B0" w:rsidRPr="002E56FF">
        <w:rPr>
          <w:rFonts w:ascii="Arial" w:hAnsi="Arial" w:cs="Arial"/>
          <w:color w:val="000000"/>
          <w:sz w:val="24"/>
          <w:szCs w:val="24"/>
        </w:rPr>
        <w:t xml:space="preserve">; </w:t>
      </w:r>
      <w:r w:rsidR="001A2A29" w:rsidRPr="002E56FF">
        <w:rPr>
          <w:rFonts w:ascii="Arial" w:hAnsi="Arial" w:cs="Arial"/>
          <w:color w:val="000000"/>
          <w:sz w:val="24"/>
          <w:szCs w:val="24"/>
        </w:rPr>
        <w:t xml:space="preserve">l’afflusso è stato </w:t>
      </w:r>
      <w:r w:rsidR="00567F7F" w:rsidRPr="002E56FF">
        <w:rPr>
          <w:rFonts w:ascii="Arial" w:hAnsi="Arial" w:cs="Arial"/>
          <w:color w:val="000000"/>
          <w:sz w:val="24"/>
          <w:szCs w:val="24"/>
        </w:rPr>
        <w:t xml:space="preserve">stimato in base </w:t>
      </w:r>
      <w:r w:rsidR="00C34A17" w:rsidRPr="002E56FF">
        <w:rPr>
          <w:rFonts w:ascii="Arial" w:hAnsi="Arial" w:cs="Arial"/>
          <w:color w:val="000000"/>
          <w:sz w:val="24"/>
          <w:szCs w:val="24"/>
        </w:rPr>
        <w:t xml:space="preserve">ai dati raccolti nel periodo 2000-2009. </w:t>
      </w:r>
    </w:p>
    <w:p w14:paraId="2D7F7DC4" w14:textId="0114B623" w:rsidR="002914DB" w:rsidRPr="002E56FF" w:rsidRDefault="00C34A17" w:rsidP="00076117">
      <w:pPr>
        <w:pStyle w:val="Corpotesto"/>
        <w:numPr>
          <w:ilvl w:val="0"/>
          <w:numId w:val="20"/>
        </w:numPr>
        <w:ind w:right="45"/>
        <w:jc w:val="both"/>
        <w:rPr>
          <w:rFonts w:ascii="Arial" w:hAnsi="Arial" w:cs="Arial"/>
          <w:color w:val="000000"/>
          <w:sz w:val="24"/>
          <w:szCs w:val="24"/>
          <w:shd w:val="clear" w:color="auto" w:fill="FFFFFF"/>
        </w:rPr>
      </w:pPr>
      <w:r w:rsidRPr="002E56FF">
        <w:rPr>
          <w:rFonts w:ascii="Arial" w:hAnsi="Arial" w:cs="Arial"/>
          <w:color w:val="000000"/>
          <w:sz w:val="24"/>
          <w:szCs w:val="24"/>
          <w:shd w:val="clear" w:color="auto" w:fill="FFFFFF"/>
        </w:rPr>
        <w:t xml:space="preserve">Gli afflussi di </w:t>
      </w:r>
      <w:r w:rsidR="005C4E60" w:rsidRPr="002E56FF">
        <w:rPr>
          <w:rFonts w:ascii="Arial" w:hAnsi="Arial" w:cs="Arial"/>
          <w:color w:val="000000"/>
          <w:sz w:val="24"/>
          <w:szCs w:val="24"/>
          <w:shd w:val="clear" w:color="auto" w:fill="FFFFFF"/>
        </w:rPr>
        <w:t>legno per i prodotti legnosi</w:t>
      </w:r>
      <w:r w:rsidRPr="002E56FF">
        <w:rPr>
          <w:rFonts w:ascii="Arial" w:hAnsi="Arial" w:cs="Arial"/>
          <w:color w:val="000000"/>
          <w:sz w:val="24"/>
          <w:szCs w:val="24"/>
          <w:shd w:val="clear" w:color="auto" w:fill="FFFFFF"/>
        </w:rPr>
        <w:t xml:space="preserve"> per il periodo 2010-2025 sono</w:t>
      </w:r>
      <w:r w:rsidR="005C4E60" w:rsidRPr="002E56FF">
        <w:rPr>
          <w:rFonts w:ascii="Arial" w:hAnsi="Arial" w:cs="Arial"/>
          <w:color w:val="000000"/>
          <w:sz w:val="24"/>
          <w:szCs w:val="24"/>
          <w:shd w:val="clear" w:color="auto" w:fill="FFFFFF"/>
        </w:rPr>
        <w:t xml:space="preserve"> stati</w:t>
      </w:r>
      <w:r w:rsidRPr="002E56FF">
        <w:rPr>
          <w:rFonts w:ascii="Arial" w:hAnsi="Arial" w:cs="Arial"/>
          <w:color w:val="000000"/>
          <w:sz w:val="24"/>
          <w:szCs w:val="24"/>
          <w:shd w:val="clear" w:color="auto" w:fill="FFFFFF"/>
        </w:rPr>
        <w:t xml:space="preserve"> calcolati per ogni </w:t>
      </w:r>
      <w:r w:rsidR="005C4E60" w:rsidRPr="002E56FF">
        <w:rPr>
          <w:rFonts w:ascii="Arial" w:hAnsi="Arial" w:cs="Arial"/>
          <w:color w:val="000000"/>
          <w:sz w:val="24"/>
          <w:szCs w:val="24"/>
          <w:shd w:val="clear" w:color="auto" w:fill="FFFFFF"/>
        </w:rPr>
        <w:t>tipologia di pro</w:t>
      </w:r>
      <w:r w:rsidR="003262CF" w:rsidRPr="002E56FF">
        <w:rPr>
          <w:rFonts w:ascii="Arial" w:hAnsi="Arial" w:cs="Arial"/>
          <w:color w:val="000000"/>
          <w:sz w:val="24"/>
          <w:szCs w:val="24"/>
          <w:shd w:val="clear" w:color="auto" w:fill="FFFFFF"/>
        </w:rPr>
        <w:t>dott</w:t>
      </w:r>
      <w:r w:rsidR="005C4E60" w:rsidRPr="002E56FF">
        <w:rPr>
          <w:rFonts w:ascii="Arial" w:hAnsi="Arial" w:cs="Arial"/>
          <w:color w:val="000000"/>
          <w:sz w:val="24"/>
          <w:szCs w:val="24"/>
          <w:shd w:val="clear" w:color="auto" w:fill="FFFFFF"/>
        </w:rPr>
        <w:t>o</w:t>
      </w:r>
      <w:r w:rsidRPr="002E56FF">
        <w:rPr>
          <w:rFonts w:ascii="Arial" w:hAnsi="Arial" w:cs="Arial"/>
          <w:color w:val="000000"/>
          <w:sz w:val="24"/>
          <w:szCs w:val="24"/>
          <w:shd w:val="clear" w:color="auto" w:fill="FFFFFF"/>
        </w:rPr>
        <w:t xml:space="preserve"> a livello nazionale moltiplicando la quantità nazionale totale di raccolto </w:t>
      </w:r>
      <w:r w:rsidR="00692D18" w:rsidRPr="002E56FF">
        <w:rPr>
          <w:rFonts w:ascii="Arial" w:hAnsi="Arial" w:cs="Arial"/>
          <w:color w:val="000000"/>
          <w:sz w:val="24"/>
          <w:szCs w:val="24"/>
        </w:rPr>
        <w:t>nelle foreste e nelle piantagioni forestali</w:t>
      </w:r>
      <w:r w:rsidR="00692D18" w:rsidRPr="002E56FF">
        <w:rPr>
          <w:rFonts w:ascii="Arial" w:hAnsi="Arial" w:cs="Arial"/>
          <w:color w:val="000000"/>
          <w:sz w:val="24"/>
          <w:szCs w:val="24"/>
          <w:shd w:val="clear" w:color="auto" w:fill="FFFFFF"/>
        </w:rPr>
        <w:t xml:space="preserve"> </w:t>
      </w:r>
      <w:r w:rsidRPr="002E56FF">
        <w:rPr>
          <w:rFonts w:ascii="Arial" w:hAnsi="Arial" w:cs="Arial"/>
          <w:color w:val="000000"/>
          <w:sz w:val="24"/>
          <w:szCs w:val="24"/>
          <w:shd w:val="clear" w:color="auto" w:fill="FFFFFF"/>
        </w:rPr>
        <w:t xml:space="preserve">(t C) dell'anno per il tasso di afflusso specifico del </w:t>
      </w:r>
      <w:r w:rsidR="003262CF" w:rsidRPr="002E56FF">
        <w:rPr>
          <w:rFonts w:ascii="Arial" w:hAnsi="Arial" w:cs="Arial"/>
          <w:color w:val="000000"/>
          <w:sz w:val="24"/>
          <w:szCs w:val="24"/>
          <w:shd w:val="clear" w:color="auto" w:fill="FFFFFF"/>
        </w:rPr>
        <w:t>prodotto legnoso considerato</w:t>
      </w:r>
      <w:r w:rsidRPr="002E56FF">
        <w:rPr>
          <w:rFonts w:ascii="Arial" w:hAnsi="Arial" w:cs="Arial"/>
          <w:color w:val="000000"/>
          <w:sz w:val="24"/>
          <w:szCs w:val="24"/>
          <w:shd w:val="clear" w:color="auto" w:fill="FFFFFF"/>
        </w:rPr>
        <w:t>.</w:t>
      </w:r>
    </w:p>
    <w:p w14:paraId="0B484FAE" w14:textId="39592F7C" w:rsidR="0034115D" w:rsidRPr="002E56FF" w:rsidRDefault="00C34A17" w:rsidP="00076117">
      <w:pPr>
        <w:pStyle w:val="Corpotesto"/>
        <w:numPr>
          <w:ilvl w:val="0"/>
          <w:numId w:val="20"/>
        </w:numPr>
        <w:ind w:right="45"/>
        <w:jc w:val="both"/>
        <w:rPr>
          <w:rFonts w:ascii="Arial" w:hAnsi="Arial" w:cs="Arial"/>
          <w:sz w:val="24"/>
          <w:szCs w:val="24"/>
        </w:rPr>
      </w:pPr>
      <w:r w:rsidRPr="002E56FF">
        <w:rPr>
          <w:rFonts w:ascii="Arial" w:hAnsi="Arial" w:cs="Arial"/>
          <w:color w:val="000000"/>
          <w:sz w:val="24"/>
          <w:szCs w:val="24"/>
          <w:shd w:val="clear" w:color="auto" w:fill="FFFFFF"/>
        </w:rPr>
        <w:t>I tassi di mortalità applicati nel periodo 2010-2025 sono gli stessi applicati per il PR, l'1,16% per le foreste sempreverdi e l'1,17% per le foreste decidue.</w:t>
      </w:r>
    </w:p>
    <w:p w14:paraId="5D249915" w14:textId="3D2BD968" w:rsidR="0034115D" w:rsidRDefault="0034115D" w:rsidP="00C007EF">
      <w:pPr>
        <w:pStyle w:val="Corpotesto"/>
        <w:ind w:right="45"/>
        <w:jc w:val="both"/>
        <w:rPr>
          <w:rFonts w:ascii="Arial" w:hAnsi="Arial" w:cs="Arial"/>
          <w:sz w:val="24"/>
          <w:szCs w:val="24"/>
        </w:rPr>
      </w:pPr>
    </w:p>
    <w:p w14:paraId="564043DF" w14:textId="633370A2" w:rsidR="002F435F" w:rsidRPr="002E56FF" w:rsidRDefault="00C41BC1" w:rsidP="00C41BC1">
      <w:pPr>
        <w:pStyle w:val="Corpotesto"/>
        <w:ind w:right="45" w:firstLine="567"/>
        <w:jc w:val="both"/>
        <w:rPr>
          <w:rFonts w:ascii="Arial" w:hAnsi="Arial" w:cs="Arial"/>
          <w:sz w:val="24"/>
          <w:szCs w:val="24"/>
        </w:rPr>
      </w:pPr>
      <w:r>
        <w:rPr>
          <w:rFonts w:ascii="Arial" w:hAnsi="Arial" w:cs="Arial"/>
          <w:sz w:val="24"/>
          <w:szCs w:val="24"/>
        </w:rPr>
        <w:t>Da quanto esposto fino ad ora sul NFAP dell’Italia per il calcolo del FRL nazionale, emerge che deve essere valutato a fondo se considerare quest’ultimo come BAU per le valutazioni di addizionalità nello stoccaggio della CO</w:t>
      </w:r>
      <w:r w:rsidRPr="00423453">
        <w:rPr>
          <w:rFonts w:ascii="Arial" w:hAnsi="Arial" w:cs="Arial"/>
          <w:sz w:val="24"/>
          <w:szCs w:val="24"/>
          <w:vertAlign w:val="subscript"/>
        </w:rPr>
        <w:t>2</w:t>
      </w:r>
      <w:r>
        <w:rPr>
          <w:rFonts w:ascii="Arial" w:hAnsi="Arial" w:cs="Arial"/>
          <w:sz w:val="24"/>
          <w:szCs w:val="24"/>
        </w:rPr>
        <w:t>. Si tratta di un elemento essenziale non solo per il monitoraggio delle pratiche di gestione forestale sostenibile ma anche per il rilascio dei crediti di sostenibilità.</w:t>
      </w:r>
    </w:p>
    <w:p w14:paraId="26D6BC55" w14:textId="77777777" w:rsidR="0011449B" w:rsidRPr="009E2E39" w:rsidRDefault="0011449B" w:rsidP="00017574">
      <w:pPr>
        <w:pStyle w:val="Corpotesto"/>
        <w:ind w:right="45"/>
        <w:jc w:val="both"/>
        <w:rPr>
          <w:rFonts w:ascii="Arial" w:hAnsi="Arial" w:cs="Arial"/>
          <w:sz w:val="24"/>
          <w:szCs w:val="24"/>
        </w:rPr>
      </w:pPr>
    </w:p>
    <w:p w14:paraId="61BBCF6C" w14:textId="60DECA1E" w:rsidR="00126D45" w:rsidRPr="009E2E39" w:rsidRDefault="0048400B" w:rsidP="00C11B6F">
      <w:pPr>
        <w:pStyle w:val="Titolo2"/>
      </w:pPr>
      <w:bookmarkStart w:id="11" w:name="_Toc74265400"/>
      <w:r>
        <w:t>Riepilogo de</w:t>
      </w:r>
      <w:r w:rsidR="00C11B6F">
        <w:t>gli aspetti del Regolamento 841 che interessano il progetto</w:t>
      </w:r>
      <w:bookmarkEnd w:id="11"/>
    </w:p>
    <w:p w14:paraId="1C11B5DB" w14:textId="4FFD5CCF" w:rsidR="00126D45" w:rsidRDefault="00126D45" w:rsidP="00017574">
      <w:pPr>
        <w:pStyle w:val="Corpotesto"/>
        <w:ind w:right="45"/>
        <w:jc w:val="both"/>
        <w:rPr>
          <w:rFonts w:ascii="Arial" w:hAnsi="Arial" w:cs="Arial"/>
          <w:sz w:val="24"/>
          <w:szCs w:val="24"/>
        </w:rPr>
      </w:pPr>
    </w:p>
    <w:p w14:paraId="45DE6018" w14:textId="6B97C64E" w:rsidR="00C41BC1" w:rsidRDefault="00C41BC1" w:rsidP="000F50E1">
      <w:pPr>
        <w:pStyle w:val="Corpotesto"/>
        <w:ind w:right="45" w:firstLine="567"/>
        <w:jc w:val="both"/>
        <w:rPr>
          <w:rFonts w:ascii="Arial" w:hAnsi="Arial" w:cs="Arial"/>
          <w:sz w:val="24"/>
          <w:szCs w:val="24"/>
        </w:rPr>
      </w:pPr>
      <w:r>
        <w:rPr>
          <w:rFonts w:ascii="Arial" w:hAnsi="Arial" w:cs="Arial"/>
          <w:sz w:val="24"/>
          <w:szCs w:val="24"/>
        </w:rPr>
        <w:t xml:space="preserve">Il Regolamento 841 </w:t>
      </w:r>
      <w:r w:rsidR="00791837">
        <w:rPr>
          <w:rFonts w:ascii="Arial" w:hAnsi="Arial" w:cs="Arial"/>
          <w:sz w:val="24"/>
          <w:szCs w:val="24"/>
        </w:rPr>
        <w:t xml:space="preserve">descrive dei criteri di contabilizzazione che prevedono un BAU e una valutazione dell’addizionalità. Questo rappresenta un ulteriore elemento di integrazione </w:t>
      </w:r>
      <w:r w:rsidR="00197B9C">
        <w:rPr>
          <w:rFonts w:ascii="Arial" w:hAnsi="Arial" w:cs="Arial"/>
          <w:sz w:val="24"/>
          <w:szCs w:val="24"/>
        </w:rPr>
        <w:t>del settore LULUCF nella strategia sul clima</w:t>
      </w:r>
      <w:r w:rsidR="00C94044">
        <w:rPr>
          <w:rFonts w:ascii="Arial" w:hAnsi="Arial" w:cs="Arial"/>
          <w:sz w:val="24"/>
          <w:szCs w:val="24"/>
        </w:rPr>
        <w:t xml:space="preserve"> della UE, come si evince dal fatto che viene esplicitamente contabilizzato nell’Inventario Nazionale sui gas GHG</w:t>
      </w:r>
      <w:r w:rsidR="00711F9A">
        <w:rPr>
          <w:rFonts w:ascii="Arial" w:hAnsi="Arial" w:cs="Arial"/>
          <w:sz w:val="24"/>
          <w:szCs w:val="24"/>
        </w:rPr>
        <w:t xml:space="preserve"> e rappresenta un </w:t>
      </w:r>
      <w:r w:rsidR="000F50E1">
        <w:rPr>
          <w:rFonts w:ascii="Arial" w:hAnsi="Arial" w:cs="Arial"/>
          <w:sz w:val="24"/>
          <w:szCs w:val="24"/>
        </w:rPr>
        <w:t xml:space="preserve">elemento di compensazione sotto certe condizioni. </w:t>
      </w:r>
      <w:r w:rsidR="00C30441">
        <w:rPr>
          <w:rFonts w:ascii="Arial" w:hAnsi="Arial" w:cs="Arial"/>
          <w:sz w:val="24"/>
          <w:szCs w:val="24"/>
        </w:rPr>
        <w:t>È</w:t>
      </w:r>
      <w:r w:rsidR="005C4419">
        <w:rPr>
          <w:rFonts w:ascii="Arial" w:hAnsi="Arial" w:cs="Arial"/>
          <w:sz w:val="24"/>
          <w:szCs w:val="24"/>
        </w:rPr>
        <w:t xml:space="preserve"> evidente che le pratiche di gestione forestale sostenibil</w:t>
      </w:r>
      <w:r w:rsidR="009A193B">
        <w:rPr>
          <w:rFonts w:ascii="Arial" w:hAnsi="Arial" w:cs="Arial"/>
          <w:sz w:val="24"/>
          <w:szCs w:val="24"/>
        </w:rPr>
        <w:t>e</w:t>
      </w:r>
      <w:r w:rsidR="008024FC">
        <w:rPr>
          <w:rFonts w:ascii="Arial" w:hAnsi="Arial" w:cs="Arial"/>
          <w:sz w:val="24"/>
          <w:szCs w:val="24"/>
        </w:rPr>
        <w:t>, e la relativa emissione di crediti,</w:t>
      </w:r>
      <w:r w:rsidR="009A193B">
        <w:rPr>
          <w:rFonts w:ascii="Arial" w:hAnsi="Arial" w:cs="Arial"/>
          <w:sz w:val="24"/>
          <w:szCs w:val="24"/>
        </w:rPr>
        <w:t xml:space="preserve"> vanno considerate come elementi che contribuiscono a stimolare nel tempo </w:t>
      </w:r>
      <w:r w:rsidR="00322E13">
        <w:rPr>
          <w:rFonts w:ascii="Arial" w:hAnsi="Arial" w:cs="Arial"/>
          <w:sz w:val="24"/>
          <w:szCs w:val="24"/>
        </w:rPr>
        <w:t>il potenziale incremento dell’assorbimento netto nei pozzi forestali</w:t>
      </w:r>
      <w:r w:rsidR="00231D50">
        <w:rPr>
          <w:rFonts w:ascii="Arial" w:hAnsi="Arial" w:cs="Arial"/>
          <w:sz w:val="24"/>
          <w:szCs w:val="24"/>
        </w:rPr>
        <w:t xml:space="preserve">, pur </w:t>
      </w:r>
      <w:r w:rsidR="0041605C">
        <w:rPr>
          <w:rFonts w:ascii="Arial" w:hAnsi="Arial" w:cs="Arial"/>
          <w:sz w:val="24"/>
          <w:szCs w:val="24"/>
        </w:rPr>
        <w:t xml:space="preserve">nel quadro dei limiti dei meccanismi di flessibilità previsti per ogni SM. </w:t>
      </w:r>
    </w:p>
    <w:p w14:paraId="005A041A" w14:textId="3679D46E" w:rsidR="0041605C" w:rsidRDefault="008A3FFC" w:rsidP="000F50E1">
      <w:pPr>
        <w:pStyle w:val="Corpotesto"/>
        <w:ind w:right="45" w:firstLine="567"/>
        <w:jc w:val="both"/>
        <w:rPr>
          <w:rFonts w:ascii="Arial" w:hAnsi="Arial" w:cs="Arial"/>
          <w:sz w:val="24"/>
          <w:szCs w:val="24"/>
        </w:rPr>
      </w:pPr>
      <w:r>
        <w:rPr>
          <w:rFonts w:ascii="Arial" w:hAnsi="Arial" w:cs="Arial"/>
          <w:sz w:val="24"/>
          <w:szCs w:val="24"/>
        </w:rPr>
        <w:t xml:space="preserve">Vi sono </w:t>
      </w:r>
      <w:r w:rsidR="009A6F96">
        <w:rPr>
          <w:rFonts w:ascii="Arial" w:hAnsi="Arial" w:cs="Arial"/>
          <w:sz w:val="24"/>
          <w:szCs w:val="24"/>
        </w:rPr>
        <w:t>tuttavia una serie di elementi che vanno considerati attentamente in questa prospettiva.</w:t>
      </w:r>
    </w:p>
    <w:p w14:paraId="7AD740C5" w14:textId="2EDCCA57" w:rsidR="009A6F96" w:rsidRDefault="009A6F96" w:rsidP="000F50E1">
      <w:pPr>
        <w:pStyle w:val="Corpotesto"/>
        <w:ind w:right="45" w:firstLine="567"/>
        <w:jc w:val="both"/>
        <w:rPr>
          <w:rFonts w:ascii="Arial" w:hAnsi="Arial" w:cs="Arial"/>
          <w:sz w:val="24"/>
          <w:szCs w:val="24"/>
        </w:rPr>
      </w:pPr>
    </w:p>
    <w:p w14:paraId="674B4059" w14:textId="389F8E34" w:rsidR="009A6F96" w:rsidRDefault="00165D5C" w:rsidP="00076117">
      <w:pPr>
        <w:pStyle w:val="Corpotesto"/>
        <w:numPr>
          <w:ilvl w:val="0"/>
          <w:numId w:val="24"/>
        </w:numPr>
        <w:ind w:right="45"/>
        <w:jc w:val="both"/>
        <w:rPr>
          <w:rFonts w:ascii="Arial" w:hAnsi="Arial" w:cs="Arial"/>
          <w:sz w:val="24"/>
          <w:szCs w:val="24"/>
        </w:rPr>
      </w:pPr>
      <w:r>
        <w:rPr>
          <w:rFonts w:ascii="Arial" w:hAnsi="Arial" w:cs="Arial"/>
          <w:sz w:val="24"/>
          <w:szCs w:val="24"/>
        </w:rPr>
        <w:t>Affinché</w:t>
      </w:r>
      <w:r w:rsidR="009E78E4">
        <w:rPr>
          <w:rFonts w:ascii="Arial" w:hAnsi="Arial" w:cs="Arial"/>
          <w:sz w:val="24"/>
          <w:szCs w:val="24"/>
        </w:rPr>
        <w:t xml:space="preserve"> sia possibile considerare il settore LULUCF come un</w:t>
      </w:r>
      <w:r w:rsidR="00861B61">
        <w:rPr>
          <w:rFonts w:ascii="Arial" w:hAnsi="Arial" w:cs="Arial"/>
          <w:sz w:val="24"/>
          <w:szCs w:val="24"/>
        </w:rPr>
        <w:t xml:space="preserve"> mezzo di compensazione occorre che sia rispetta la “no </w:t>
      </w:r>
      <w:proofErr w:type="spellStart"/>
      <w:r w:rsidR="00861B61">
        <w:rPr>
          <w:rFonts w:ascii="Arial" w:hAnsi="Arial" w:cs="Arial"/>
          <w:sz w:val="24"/>
          <w:szCs w:val="24"/>
        </w:rPr>
        <w:t>debit</w:t>
      </w:r>
      <w:proofErr w:type="spellEnd"/>
      <w:r w:rsidR="00861B61">
        <w:rPr>
          <w:rFonts w:ascii="Arial" w:hAnsi="Arial" w:cs="Arial"/>
          <w:sz w:val="24"/>
          <w:szCs w:val="24"/>
        </w:rPr>
        <w:t xml:space="preserve"> rule” per l’intero settore LULUCF: quindi non solo per il settore forestale ma anche per gli altri settori, come quello agricolo</w:t>
      </w:r>
      <w:r w:rsidR="00C64E23">
        <w:rPr>
          <w:rFonts w:ascii="Arial" w:hAnsi="Arial" w:cs="Arial"/>
          <w:sz w:val="24"/>
          <w:szCs w:val="24"/>
        </w:rPr>
        <w:t xml:space="preserve">. Questo non </w:t>
      </w:r>
      <w:r w:rsidR="00BA71E1">
        <w:rPr>
          <w:rFonts w:ascii="Arial" w:hAnsi="Arial" w:cs="Arial"/>
          <w:sz w:val="24"/>
          <w:szCs w:val="24"/>
        </w:rPr>
        <w:t xml:space="preserve">preclude la validità delle azioni di gestione forestale </w:t>
      </w:r>
      <w:r w:rsidR="00BA71E1">
        <w:rPr>
          <w:rFonts w:ascii="Arial" w:hAnsi="Arial" w:cs="Arial"/>
          <w:sz w:val="24"/>
          <w:szCs w:val="24"/>
        </w:rPr>
        <w:lastRenderedPageBreak/>
        <w:t xml:space="preserve">sostenibile ma </w:t>
      </w:r>
      <w:r w:rsidR="0024180B">
        <w:rPr>
          <w:rFonts w:ascii="Arial" w:hAnsi="Arial" w:cs="Arial"/>
          <w:sz w:val="24"/>
          <w:szCs w:val="24"/>
        </w:rPr>
        <w:t xml:space="preserve">implica che se gli altri settori LULUCF hanno assorbimenti inferiori alle emissioni, </w:t>
      </w:r>
      <w:r w:rsidR="00021AE8">
        <w:rPr>
          <w:rFonts w:ascii="Arial" w:hAnsi="Arial" w:cs="Arial"/>
          <w:sz w:val="24"/>
          <w:szCs w:val="24"/>
        </w:rPr>
        <w:t xml:space="preserve">il settore forestale deve concorrere prima di tutto a compensare questi </w:t>
      </w:r>
      <w:proofErr w:type="gramStart"/>
      <w:r w:rsidR="00021AE8">
        <w:rPr>
          <w:rFonts w:ascii="Arial" w:hAnsi="Arial" w:cs="Arial"/>
          <w:sz w:val="24"/>
          <w:szCs w:val="24"/>
        </w:rPr>
        <w:t>gap</w:t>
      </w:r>
      <w:proofErr w:type="gramEnd"/>
      <w:r w:rsidR="00960DD0">
        <w:rPr>
          <w:rFonts w:ascii="Arial" w:hAnsi="Arial" w:cs="Arial"/>
          <w:sz w:val="24"/>
          <w:szCs w:val="24"/>
        </w:rPr>
        <w:t>.</w:t>
      </w:r>
      <w:r w:rsidR="00C0005A">
        <w:rPr>
          <w:rFonts w:ascii="Arial" w:hAnsi="Arial" w:cs="Arial"/>
          <w:sz w:val="24"/>
          <w:szCs w:val="24"/>
        </w:rPr>
        <w:t xml:space="preserve"> In ogni caso, questo problema non si pone per l’Italia perché </w:t>
      </w:r>
      <w:r w:rsidR="008E7BE4">
        <w:rPr>
          <w:rFonts w:ascii="Arial" w:hAnsi="Arial" w:cs="Arial"/>
          <w:sz w:val="24"/>
          <w:szCs w:val="24"/>
        </w:rPr>
        <w:t xml:space="preserve">la “no </w:t>
      </w:r>
      <w:proofErr w:type="spellStart"/>
      <w:r w:rsidR="008E7BE4">
        <w:rPr>
          <w:rFonts w:ascii="Arial" w:hAnsi="Arial" w:cs="Arial"/>
          <w:sz w:val="24"/>
          <w:szCs w:val="24"/>
        </w:rPr>
        <w:t>debit</w:t>
      </w:r>
      <w:proofErr w:type="spellEnd"/>
      <w:r w:rsidR="008E7BE4">
        <w:rPr>
          <w:rFonts w:ascii="Arial" w:hAnsi="Arial" w:cs="Arial"/>
          <w:sz w:val="24"/>
          <w:szCs w:val="24"/>
        </w:rPr>
        <w:t xml:space="preserve"> rule” è ampiamente rispettata, ma potrebbe essere un problema </w:t>
      </w:r>
      <w:r w:rsidR="00141186">
        <w:rPr>
          <w:rFonts w:ascii="Arial" w:hAnsi="Arial" w:cs="Arial"/>
          <w:sz w:val="24"/>
          <w:szCs w:val="24"/>
        </w:rPr>
        <w:t xml:space="preserve">nella replicabilità del modello presso altri SM. </w:t>
      </w:r>
    </w:p>
    <w:p w14:paraId="754A5B54" w14:textId="409E8B0B" w:rsidR="00021AE8" w:rsidRDefault="00021AE8" w:rsidP="000F50E1">
      <w:pPr>
        <w:pStyle w:val="Corpotesto"/>
        <w:ind w:right="45" w:firstLine="567"/>
        <w:jc w:val="both"/>
        <w:rPr>
          <w:rFonts w:ascii="Arial" w:hAnsi="Arial" w:cs="Arial"/>
          <w:sz w:val="24"/>
          <w:szCs w:val="24"/>
        </w:rPr>
      </w:pPr>
    </w:p>
    <w:p w14:paraId="1D4903A2" w14:textId="0131ECF9" w:rsidR="00021AE8" w:rsidRDefault="00960DD0" w:rsidP="00076117">
      <w:pPr>
        <w:pStyle w:val="Corpotesto"/>
        <w:numPr>
          <w:ilvl w:val="0"/>
          <w:numId w:val="24"/>
        </w:numPr>
        <w:ind w:right="45"/>
        <w:jc w:val="both"/>
        <w:rPr>
          <w:rFonts w:ascii="Arial" w:hAnsi="Arial" w:cs="Arial"/>
          <w:sz w:val="24"/>
          <w:szCs w:val="24"/>
        </w:rPr>
      </w:pPr>
      <w:r>
        <w:rPr>
          <w:rFonts w:ascii="Arial" w:hAnsi="Arial" w:cs="Arial"/>
          <w:sz w:val="24"/>
          <w:szCs w:val="24"/>
        </w:rPr>
        <w:t xml:space="preserve">Deve essere scelto con precisione il BAU di riferimento, valutando se </w:t>
      </w:r>
      <w:r w:rsidR="003B707A">
        <w:rPr>
          <w:rFonts w:ascii="Arial" w:hAnsi="Arial" w:cs="Arial"/>
          <w:sz w:val="24"/>
          <w:szCs w:val="24"/>
        </w:rPr>
        <w:t>deve essere il FRL Nazionale o se è preferibile adottare un approccio alternativo</w:t>
      </w:r>
      <w:r w:rsidR="00075698">
        <w:rPr>
          <w:rFonts w:ascii="Arial" w:hAnsi="Arial" w:cs="Arial"/>
          <w:sz w:val="24"/>
          <w:szCs w:val="24"/>
        </w:rPr>
        <w:t>, soprattutto alla luce dell</w:t>
      </w:r>
      <w:r w:rsidR="004A2A43">
        <w:rPr>
          <w:rFonts w:ascii="Arial" w:hAnsi="Arial" w:cs="Arial"/>
          <w:sz w:val="24"/>
          <w:szCs w:val="24"/>
        </w:rPr>
        <w:t>’assunzione fatta da ISPRA di dichiarare tutte le foreste italiane come sottoposte a gestione forestale</w:t>
      </w:r>
      <w:r w:rsidR="00143325">
        <w:rPr>
          <w:rFonts w:ascii="Arial" w:hAnsi="Arial" w:cs="Arial"/>
          <w:sz w:val="24"/>
          <w:szCs w:val="24"/>
        </w:rPr>
        <w:t>.</w:t>
      </w:r>
      <w:r w:rsidR="00141186">
        <w:rPr>
          <w:rFonts w:ascii="Arial" w:hAnsi="Arial" w:cs="Arial"/>
          <w:sz w:val="24"/>
          <w:szCs w:val="24"/>
        </w:rPr>
        <w:t xml:space="preserve"> I vantaggi di questo approccio sono probabilmente molto superiori agli svantaggi. </w:t>
      </w:r>
    </w:p>
    <w:p w14:paraId="2103AC41" w14:textId="4DD799C8" w:rsidR="002F435F" w:rsidRDefault="002F435F" w:rsidP="002F435F">
      <w:pPr>
        <w:pStyle w:val="Corpotesto"/>
        <w:ind w:right="45"/>
        <w:jc w:val="both"/>
        <w:rPr>
          <w:rFonts w:ascii="Arial" w:hAnsi="Arial" w:cs="Arial"/>
          <w:sz w:val="24"/>
          <w:szCs w:val="24"/>
        </w:rPr>
      </w:pPr>
    </w:p>
    <w:p w14:paraId="7ABCFAA4" w14:textId="5C1F4212" w:rsidR="00C11B6F" w:rsidRDefault="003B707A" w:rsidP="00076117">
      <w:pPr>
        <w:pStyle w:val="Corpotesto"/>
        <w:numPr>
          <w:ilvl w:val="0"/>
          <w:numId w:val="24"/>
        </w:numPr>
        <w:ind w:right="45"/>
        <w:jc w:val="both"/>
        <w:rPr>
          <w:rFonts w:ascii="Arial" w:hAnsi="Arial" w:cs="Arial"/>
          <w:sz w:val="24"/>
          <w:szCs w:val="24"/>
        </w:rPr>
      </w:pPr>
      <w:r>
        <w:rPr>
          <w:rFonts w:ascii="Arial" w:hAnsi="Arial" w:cs="Arial"/>
          <w:sz w:val="24"/>
          <w:szCs w:val="24"/>
        </w:rPr>
        <w:t>Si deve tenere conto che</w:t>
      </w:r>
      <w:r w:rsidR="002F435F">
        <w:rPr>
          <w:rFonts w:ascii="Arial" w:hAnsi="Arial" w:cs="Arial"/>
          <w:sz w:val="24"/>
          <w:szCs w:val="24"/>
        </w:rPr>
        <w:t xml:space="preserve"> nel NFAP e nel Progetto LIFE CO2PES&amp;PEF sono stati scelti approcci differenti nella modellazione della gestione forestale sostenibile e nella misurazione della CO2 addizionale stoccata: per ISPRA è stato scelto </w:t>
      </w:r>
      <w:r>
        <w:rPr>
          <w:rFonts w:ascii="Arial" w:hAnsi="Arial" w:cs="Arial"/>
          <w:sz w:val="24"/>
          <w:szCs w:val="24"/>
        </w:rPr>
        <w:t xml:space="preserve">il modello </w:t>
      </w:r>
      <w:r w:rsidR="008E39DE">
        <w:rPr>
          <w:rFonts w:ascii="Arial" w:hAnsi="Arial" w:cs="Arial"/>
          <w:sz w:val="24"/>
          <w:szCs w:val="24"/>
        </w:rPr>
        <w:t>For-est, mentre per il Progetto CO</w:t>
      </w:r>
      <w:r w:rsidR="00141186">
        <w:rPr>
          <w:rFonts w:ascii="Arial" w:hAnsi="Arial" w:cs="Arial"/>
          <w:sz w:val="24"/>
          <w:szCs w:val="24"/>
        </w:rPr>
        <w:t>S</w:t>
      </w:r>
      <w:r w:rsidR="008E39DE">
        <w:rPr>
          <w:rFonts w:ascii="Arial" w:hAnsi="Arial" w:cs="Arial"/>
          <w:sz w:val="24"/>
          <w:szCs w:val="24"/>
        </w:rPr>
        <w:t xml:space="preserve">PES&amp;PEF è stato scelto il Carbon Budget Model, integrato con i modelli </w:t>
      </w:r>
      <w:proofErr w:type="spellStart"/>
      <w:r w:rsidR="008E39DE">
        <w:rPr>
          <w:rFonts w:ascii="Arial" w:hAnsi="Arial" w:cs="Arial"/>
          <w:sz w:val="24"/>
          <w:szCs w:val="24"/>
        </w:rPr>
        <w:t>Forest</w:t>
      </w:r>
      <w:proofErr w:type="spellEnd"/>
      <w:r w:rsidR="008E39DE">
        <w:rPr>
          <w:rFonts w:ascii="Arial" w:hAnsi="Arial" w:cs="Arial"/>
          <w:sz w:val="24"/>
          <w:szCs w:val="24"/>
        </w:rPr>
        <w:t xml:space="preserve"> </w:t>
      </w:r>
      <w:proofErr w:type="spellStart"/>
      <w:r w:rsidR="008E39DE">
        <w:rPr>
          <w:rFonts w:ascii="Arial" w:hAnsi="Arial" w:cs="Arial"/>
          <w:sz w:val="24"/>
          <w:szCs w:val="24"/>
        </w:rPr>
        <w:t>Gales</w:t>
      </w:r>
      <w:proofErr w:type="spellEnd"/>
      <w:r w:rsidR="008E39DE">
        <w:rPr>
          <w:rFonts w:ascii="Arial" w:hAnsi="Arial" w:cs="Arial"/>
          <w:sz w:val="24"/>
          <w:szCs w:val="24"/>
        </w:rPr>
        <w:t xml:space="preserve">, </w:t>
      </w:r>
      <w:proofErr w:type="spellStart"/>
      <w:r w:rsidR="008E39DE">
        <w:rPr>
          <w:rFonts w:ascii="Arial" w:hAnsi="Arial" w:cs="Arial"/>
          <w:sz w:val="24"/>
          <w:szCs w:val="24"/>
        </w:rPr>
        <w:t>Behave</w:t>
      </w:r>
      <w:proofErr w:type="spellEnd"/>
      <w:r w:rsidR="008E39DE">
        <w:rPr>
          <w:rFonts w:ascii="Arial" w:hAnsi="Arial" w:cs="Arial"/>
          <w:sz w:val="24"/>
          <w:szCs w:val="24"/>
        </w:rPr>
        <w:t xml:space="preserve"> e </w:t>
      </w:r>
      <w:proofErr w:type="spellStart"/>
      <w:r w:rsidR="008E39DE">
        <w:rPr>
          <w:rFonts w:ascii="Arial" w:hAnsi="Arial" w:cs="Arial"/>
          <w:sz w:val="24"/>
          <w:szCs w:val="24"/>
        </w:rPr>
        <w:t>Flammap</w:t>
      </w:r>
      <w:proofErr w:type="spellEnd"/>
      <w:r w:rsidR="008E39DE">
        <w:rPr>
          <w:rFonts w:ascii="Arial" w:hAnsi="Arial" w:cs="Arial"/>
          <w:sz w:val="24"/>
          <w:szCs w:val="24"/>
        </w:rPr>
        <w:t xml:space="preserve">. </w:t>
      </w:r>
      <w:proofErr w:type="gramStart"/>
      <w:r w:rsidR="00075698">
        <w:rPr>
          <w:rFonts w:ascii="Arial" w:hAnsi="Arial" w:cs="Arial"/>
          <w:sz w:val="24"/>
          <w:szCs w:val="24"/>
        </w:rPr>
        <w:t>E’</w:t>
      </w:r>
      <w:proofErr w:type="gramEnd"/>
      <w:r w:rsidR="00075698">
        <w:rPr>
          <w:rFonts w:ascii="Arial" w:hAnsi="Arial" w:cs="Arial"/>
          <w:sz w:val="24"/>
          <w:szCs w:val="24"/>
        </w:rPr>
        <w:t xml:space="preserve"> opportuno che ve</w:t>
      </w:r>
      <w:r w:rsidR="00143325">
        <w:rPr>
          <w:rFonts w:ascii="Arial" w:hAnsi="Arial" w:cs="Arial"/>
          <w:sz w:val="24"/>
          <w:szCs w:val="24"/>
        </w:rPr>
        <w:t>rificare quali differenze emergono dal layout di questi approcci metodologici</w:t>
      </w:r>
      <w:r w:rsidR="00141186">
        <w:rPr>
          <w:rFonts w:ascii="Arial" w:hAnsi="Arial" w:cs="Arial"/>
          <w:sz w:val="24"/>
          <w:szCs w:val="24"/>
        </w:rPr>
        <w:t>, ma in ogni caso si ritiene utile considerare entrambi i modelli e prendere un valore medio nel range di valori che</w:t>
      </w:r>
      <w:r w:rsidR="00847138">
        <w:rPr>
          <w:rFonts w:ascii="Arial" w:hAnsi="Arial" w:cs="Arial"/>
          <w:sz w:val="24"/>
          <w:szCs w:val="24"/>
        </w:rPr>
        <w:t xml:space="preserve"> viene calcolato</w:t>
      </w:r>
      <w:r w:rsidR="00143325">
        <w:rPr>
          <w:rFonts w:ascii="Arial" w:hAnsi="Arial" w:cs="Arial"/>
          <w:sz w:val="24"/>
          <w:szCs w:val="24"/>
        </w:rPr>
        <w:t>.</w:t>
      </w:r>
    </w:p>
    <w:p w14:paraId="29296D32" w14:textId="77777777" w:rsidR="00C11B6F" w:rsidRPr="009E2E39" w:rsidRDefault="00C11B6F" w:rsidP="00017574">
      <w:pPr>
        <w:pStyle w:val="Corpotesto"/>
        <w:ind w:right="45"/>
        <w:jc w:val="both"/>
        <w:rPr>
          <w:rFonts w:ascii="Arial" w:hAnsi="Arial" w:cs="Arial"/>
          <w:sz w:val="24"/>
          <w:szCs w:val="24"/>
        </w:rPr>
      </w:pPr>
    </w:p>
    <w:p w14:paraId="77AAC1AC" w14:textId="77777777" w:rsidR="0080286C" w:rsidRDefault="0080286C" w:rsidP="00A93102">
      <w:pPr>
        <w:pStyle w:val="Titolo1"/>
      </w:pPr>
      <w:bookmarkStart w:id="12" w:name="_Toc74265401"/>
      <w:r>
        <w:t>La governance sul Clima il Regolamento 2018/1999 e l’istituzione dei PNIEC</w:t>
      </w:r>
      <w:bookmarkEnd w:id="12"/>
    </w:p>
    <w:p w14:paraId="6CD4DFA3" w14:textId="60A5C9FD" w:rsidR="0080286C" w:rsidRDefault="0080286C" w:rsidP="0080286C">
      <w:pPr>
        <w:pStyle w:val="Corpotesto"/>
        <w:ind w:right="45"/>
        <w:jc w:val="both"/>
        <w:rPr>
          <w:rFonts w:ascii="Arial" w:hAnsi="Arial" w:cs="Arial"/>
          <w:sz w:val="24"/>
          <w:szCs w:val="24"/>
        </w:rPr>
      </w:pPr>
    </w:p>
    <w:p w14:paraId="5342E06D" w14:textId="6F47F37D" w:rsidR="006C57EC" w:rsidRDefault="00A130DF" w:rsidP="00A30A13">
      <w:pPr>
        <w:pStyle w:val="Corpotesto"/>
        <w:ind w:right="45" w:firstLine="567"/>
        <w:jc w:val="both"/>
        <w:rPr>
          <w:rFonts w:ascii="Arial" w:hAnsi="Arial" w:cs="Arial"/>
          <w:sz w:val="24"/>
          <w:szCs w:val="24"/>
        </w:rPr>
      </w:pPr>
      <w:r>
        <w:rPr>
          <w:rFonts w:ascii="Arial" w:hAnsi="Arial" w:cs="Arial"/>
          <w:sz w:val="24"/>
          <w:szCs w:val="24"/>
        </w:rPr>
        <w:t>A seguito de</w:t>
      </w:r>
      <w:r w:rsidR="00232019">
        <w:rPr>
          <w:rFonts w:ascii="Arial" w:hAnsi="Arial" w:cs="Arial"/>
          <w:sz w:val="24"/>
          <w:szCs w:val="24"/>
        </w:rPr>
        <w:t xml:space="preserve">ll’emissione dei due Regolamenti </w:t>
      </w:r>
      <w:r w:rsidR="00484194">
        <w:rPr>
          <w:rFonts w:ascii="Arial" w:hAnsi="Arial" w:cs="Arial"/>
          <w:sz w:val="24"/>
          <w:szCs w:val="24"/>
        </w:rPr>
        <w:t>2018/</w:t>
      </w:r>
      <w:r w:rsidR="00232019">
        <w:rPr>
          <w:rFonts w:ascii="Arial" w:hAnsi="Arial" w:cs="Arial"/>
          <w:sz w:val="24"/>
          <w:szCs w:val="24"/>
        </w:rPr>
        <w:t xml:space="preserve">841 e </w:t>
      </w:r>
      <w:r w:rsidR="00484194">
        <w:rPr>
          <w:rFonts w:ascii="Arial" w:hAnsi="Arial" w:cs="Arial"/>
          <w:sz w:val="24"/>
          <w:szCs w:val="24"/>
        </w:rPr>
        <w:t>2018/</w:t>
      </w:r>
      <w:r w:rsidR="00232019">
        <w:rPr>
          <w:rFonts w:ascii="Arial" w:hAnsi="Arial" w:cs="Arial"/>
          <w:sz w:val="24"/>
          <w:szCs w:val="24"/>
        </w:rPr>
        <w:t>8</w:t>
      </w:r>
      <w:r w:rsidR="004D7D72">
        <w:rPr>
          <w:rFonts w:ascii="Arial" w:hAnsi="Arial" w:cs="Arial"/>
          <w:sz w:val="24"/>
          <w:szCs w:val="24"/>
        </w:rPr>
        <w:t xml:space="preserve">42 nonché di tutta la normativa dello stesso periodo inerente </w:t>
      </w:r>
      <w:r w:rsidR="001B3198">
        <w:rPr>
          <w:rFonts w:ascii="Arial" w:hAnsi="Arial" w:cs="Arial"/>
          <w:sz w:val="24"/>
          <w:szCs w:val="24"/>
        </w:rPr>
        <w:t>a</w:t>
      </w:r>
      <w:r w:rsidR="004D7D72">
        <w:rPr>
          <w:rFonts w:ascii="Arial" w:hAnsi="Arial" w:cs="Arial"/>
          <w:sz w:val="24"/>
          <w:szCs w:val="24"/>
        </w:rPr>
        <w:t xml:space="preserve">l clima e la gestione dell’energia, </w:t>
      </w:r>
      <w:r w:rsidR="00591A28">
        <w:rPr>
          <w:rFonts w:ascii="Arial" w:hAnsi="Arial" w:cs="Arial"/>
          <w:sz w:val="24"/>
          <w:szCs w:val="24"/>
        </w:rPr>
        <w:t>l’Unione Europea ha deciso di istituire un</w:t>
      </w:r>
      <w:r w:rsidR="00484194">
        <w:rPr>
          <w:rFonts w:ascii="Arial" w:hAnsi="Arial" w:cs="Arial"/>
          <w:sz w:val="24"/>
          <w:szCs w:val="24"/>
        </w:rPr>
        <w:t xml:space="preserve">a </w:t>
      </w:r>
      <w:r w:rsidR="000A1793">
        <w:rPr>
          <w:rFonts w:ascii="Arial" w:hAnsi="Arial" w:cs="Arial"/>
          <w:sz w:val="24"/>
          <w:szCs w:val="24"/>
        </w:rPr>
        <w:t xml:space="preserve">nuova e più integrata governance </w:t>
      </w:r>
      <w:r w:rsidR="00744352">
        <w:rPr>
          <w:rFonts w:ascii="Arial" w:hAnsi="Arial" w:cs="Arial"/>
          <w:sz w:val="24"/>
          <w:szCs w:val="24"/>
        </w:rPr>
        <w:t xml:space="preserve">delle sue azioni sul clima, che è </w:t>
      </w:r>
      <w:r w:rsidR="00115366">
        <w:rPr>
          <w:rFonts w:ascii="Arial" w:hAnsi="Arial" w:cs="Arial"/>
          <w:sz w:val="24"/>
          <w:szCs w:val="24"/>
        </w:rPr>
        <w:t>stat</w:t>
      </w:r>
      <w:r w:rsidR="00744352">
        <w:rPr>
          <w:rFonts w:ascii="Arial" w:hAnsi="Arial" w:cs="Arial"/>
          <w:sz w:val="24"/>
          <w:szCs w:val="24"/>
        </w:rPr>
        <w:t>a</w:t>
      </w:r>
      <w:r w:rsidR="00115366">
        <w:rPr>
          <w:rFonts w:ascii="Arial" w:hAnsi="Arial" w:cs="Arial"/>
          <w:sz w:val="24"/>
          <w:szCs w:val="24"/>
        </w:rPr>
        <w:t xml:space="preserve"> espress</w:t>
      </w:r>
      <w:r w:rsidR="00744352">
        <w:rPr>
          <w:rFonts w:ascii="Arial" w:hAnsi="Arial" w:cs="Arial"/>
          <w:sz w:val="24"/>
          <w:szCs w:val="24"/>
        </w:rPr>
        <w:t>a</w:t>
      </w:r>
      <w:r w:rsidR="00115366">
        <w:rPr>
          <w:rFonts w:ascii="Arial" w:hAnsi="Arial" w:cs="Arial"/>
          <w:sz w:val="24"/>
          <w:szCs w:val="24"/>
        </w:rPr>
        <w:t xml:space="preserve"> dal Regolamento </w:t>
      </w:r>
      <w:r w:rsidR="001B3198">
        <w:rPr>
          <w:rFonts w:ascii="Arial" w:hAnsi="Arial" w:cs="Arial"/>
          <w:sz w:val="24"/>
          <w:szCs w:val="24"/>
        </w:rPr>
        <w:t>1999/2018</w:t>
      </w:r>
      <w:r w:rsidR="00F4495E">
        <w:rPr>
          <w:rStyle w:val="Rimandonotaapidipagina"/>
          <w:rFonts w:ascii="Arial" w:hAnsi="Arial" w:cs="Arial"/>
          <w:sz w:val="24"/>
          <w:szCs w:val="24"/>
        </w:rPr>
        <w:footnoteReference w:id="58"/>
      </w:r>
      <w:r w:rsidR="00744352">
        <w:rPr>
          <w:rFonts w:ascii="Arial" w:hAnsi="Arial" w:cs="Arial"/>
          <w:sz w:val="24"/>
          <w:szCs w:val="24"/>
        </w:rPr>
        <w:t xml:space="preserve">. </w:t>
      </w:r>
      <w:r w:rsidR="00B83109">
        <w:rPr>
          <w:rFonts w:ascii="Arial" w:hAnsi="Arial" w:cs="Arial"/>
          <w:sz w:val="24"/>
          <w:szCs w:val="24"/>
        </w:rPr>
        <w:t xml:space="preserve">Questo Regolamento interessa le attività del Progetto in quanto rivede completamente </w:t>
      </w:r>
      <w:r w:rsidR="00D5621D">
        <w:rPr>
          <w:rFonts w:ascii="Arial" w:hAnsi="Arial" w:cs="Arial"/>
          <w:sz w:val="24"/>
          <w:szCs w:val="24"/>
        </w:rPr>
        <w:t>il sistema di monitoraggio istituito con il Regolame</w:t>
      </w:r>
      <w:r w:rsidR="005303F7">
        <w:rPr>
          <w:rFonts w:ascii="Arial" w:hAnsi="Arial" w:cs="Arial"/>
          <w:sz w:val="24"/>
          <w:szCs w:val="24"/>
        </w:rPr>
        <w:t>n</w:t>
      </w:r>
      <w:r w:rsidR="00D5621D">
        <w:rPr>
          <w:rFonts w:ascii="Arial" w:hAnsi="Arial" w:cs="Arial"/>
          <w:sz w:val="24"/>
          <w:szCs w:val="24"/>
        </w:rPr>
        <w:t>to 525</w:t>
      </w:r>
      <w:r w:rsidR="005303F7">
        <w:rPr>
          <w:rFonts w:ascii="Arial" w:hAnsi="Arial" w:cs="Arial"/>
          <w:sz w:val="24"/>
          <w:szCs w:val="24"/>
        </w:rPr>
        <w:t>/2013</w:t>
      </w:r>
      <w:r w:rsidR="005059B6">
        <w:rPr>
          <w:rFonts w:ascii="Arial" w:hAnsi="Arial" w:cs="Arial"/>
          <w:sz w:val="24"/>
          <w:szCs w:val="24"/>
        </w:rPr>
        <w:t xml:space="preserve">. </w:t>
      </w:r>
      <w:r w:rsidR="0080520F">
        <w:rPr>
          <w:rFonts w:ascii="Arial" w:hAnsi="Arial" w:cs="Arial"/>
          <w:sz w:val="24"/>
          <w:szCs w:val="24"/>
        </w:rPr>
        <w:t>L</w:t>
      </w:r>
      <w:r w:rsidR="00F761B8">
        <w:rPr>
          <w:rFonts w:ascii="Arial" w:hAnsi="Arial" w:cs="Arial"/>
          <w:sz w:val="24"/>
          <w:szCs w:val="24"/>
        </w:rPr>
        <w:t>a prima parte dell’</w:t>
      </w:r>
      <w:r w:rsidR="0080520F">
        <w:rPr>
          <w:rFonts w:ascii="Arial" w:hAnsi="Arial" w:cs="Arial"/>
          <w:sz w:val="24"/>
          <w:szCs w:val="24"/>
        </w:rPr>
        <w:t>articolo 38 di questo Regolamento espr</w:t>
      </w:r>
      <w:r w:rsidR="00F761B8">
        <w:rPr>
          <w:rFonts w:ascii="Arial" w:hAnsi="Arial" w:cs="Arial"/>
          <w:sz w:val="24"/>
          <w:szCs w:val="24"/>
        </w:rPr>
        <w:t xml:space="preserve">ime con chiarezza questo </w:t>
      </w:r>
      <w:r w:rsidR="009F1243">
        <w:rPr>
          <w:rFonts w:ascii="Arial" w:hAnsi="Arial" w:cs="Arial"/>
          <w:sz w:val="24"/>
          <w:szCs w:val="24"/>
        </w:rPr>
        <w:t>obbiettivo.</w:t>
      </w:r>
    </w:p>
    <w:p w14:paraId="3D946FAB" w14:textId="77777777" w:rsidR="0080286C" w:rsidRDefault="0080286C" w:rsidP="0080286C">
      <w:pPr>
        <w:pStyle w:val="Corpotesto"/>
        <w:ind w:right="45"/>
        <w:jc w:val="both"/>
        <w:rPr>
          <w:rFonts w:ascii="Arial" w:hAnsi="Arial" w:cs="Arial"/>
          <w:sz w:val="24"/>
          <w:szCs w:val="24"/>
        </w:rPr>
      </w:pPr>
    </w:p>
    <w:p w14:paraId="028CCBEA" w14:textId="00BE8DDC" w:rsidR="0080286C" w:rsidRPr="009F1243" w:rsidRDefault="0080286C" w:rsidP="0080286C">
      <w:pPr>
        <w:pStyle w:val="Corpotesto"/>
        <w:ind w:right="45"/>
        <w:jc w:val="both"/>
        <w:rPr>
          <w:rFonts w:ascii="Arial" w:hAnsi="Arial" w:cs="Arial"/>
          <w:i/>
          <w:iCs/>
          <w:sz w:val="22"/>
          <w:szCs w:val="22"/>
        </w:rPr>
      </w:pPr>
      <w:r w:rsidRPr="009F1243">
        <w:rPr>
          <w:rFonts w:ascii="Arial" w:hAnsi="Arial" w:cs="Arial"/>
          <w:i/>
          <w:iCs/>
          <w:sz w:val="22"/>
          <w:szCs w:val="22"/>
        </w:rPr>
        <w:t xml:space="preserve">Articolo 38 </w:t>
      </w:r>
      <w:r w:rsidRPr="009F1243">
        <w:rPr>
          <w:rFonts w:ascii="Arial" w:hAnsi="Arial" w:cs="Arial"/>
          <w:b/>
          <w:bCs/>
          <w:i/>
          <w:iCs/>
          <w:sz w:val="22"/>
          <w:szCs w:val="22"/>
        </w:rPr>
        <w:t xml:space="preserve">Revisione dell'inventario </w:t>
      </w:r>
      <w:r w:rsidRPr="009F1243">
        <w:rPr>
          <w:rFonts w:ascii="Arial" w:hAnsi="Arial" w:cs="Arial"/>
          <w:i/>
          <w:iCs/>
          <w:sz w:val="22"/>
          <w:szCs w:val="22"/>
        </w:rPr>
        <w:t>1.Per monitorare le riduzioni o le limitazioni delle emissioni di gas a effetto serra degli Stati membri a norma degli articoli 4, 9 e 10 del regolamento (UE) 2018/842, la riduzione delle emissioni e l'aumento dell'assorbimento dai pozzi a norma degli articoli 4 e 14 del regolamento (UE) 2018/841 e altri traguardi di riduzione o limitazione delle emissioni di gas a effetto serra definiti dal diritto dell'Unione, nel 2027 e nel 2032 la Commissione procede a una revisione completa dei dati degli inventari nazionali trasmessi dagli Stati membri a norma dell'articolo 26, paragrafo 4 del presente regolamento. Gli Stati membri partecipano pienamente a tale processo</w:t>
      </w:r>
      <w:r w:rsidR="001B3198" w:rsidRPr="009F1243">
        <w:rPr>
          <w:rFonts w:ascii="Arial" w:hAnsi="Arial" w:cs="Arial"/>
          <w:i/>
          <w:iCs/>
          <w:sz w:val="22"/>
          <w:szCs w:val="22"/>
        </w:rPr>
        <w:t>.</w:t>
      </w:r>
    </w:p>
    <w:p w14:paraId="6E778CD9" w14:textId="79232FAE" w:rsidR="0080286C" w:rsidRDefault="0080286C" w:rsidP="0080286C">
      <w:pPr>
        <w:pStyle w:val="Corpotesto"/>
        <w:ind w:right="45"/>
        <w:jc w:val="both"/>
        <w:rPr>
          <w:rFonts w:ascii="Arial" w:hAnsi="Arial" w:cs="Arial"/>
          <w:sz w:val="24"/>
          <w:szCs w:val="24"/>
        </w:rPr>
      </w:pPr>
    </w:p>
    <w:p w14:paraId="55E92151" w14:textId="00DF6B39" w:rsidR="001C700A" w:rsidRDefault="0062078F" w:rsidP="00F41FD9">
      <w:pPr>
        <w:pStyle w:val="Corpotesto"/>
        <w:ind w:right="45" w:firstLine="567"/>
        <w:jc w:val="both"/>
        <w:rPr>
          <w:rFonts w:ascii="Arial" w:hAnsi="Arial" w:cs="Arial"/>
          <w:sz w:val="24"/>
          <w:szCs w:val="24"/>
        </w:rPr>
      </w:pPr>
      <w:r>
        <w:rPr>
          <w:rFonts w:ascii="Arial" w:hAnsi="Arial" w:cs="Arial"/>
          <w:sz w:val="24"/>
          <w:szCs w:val="24"/>
        </w:rPr>
        <w:t xml:space="preserve">Lo strumento </w:t>
      </w:r>
      <w:r w:rsidR="00A43C6F">
        <w:rPr>
          <w:rFonts w:ascii="Arial" w:hAnsi="Arial" w:cs="Arial"/>
          <w:sz w:val="24"/>
          <w:szCs w:val="24"/>
        </w:rPr>
        <w:t>operativo che rappresenta questa revisione dell’</w:t>
      </w:r>
      <w:r w:rsidR="00995424">
        <w:rPr>
          <w:rFonts w:ascii="Arial" w:hAnsi="Arial" w:cs="Arial"/>
          <w:sz w:val="24"/>
          <w:szCs w:val="24"/>
        </w:rPr>
        <w:t>inventario il Piano Nazionale Integrato per l’Energia e per il Clima (PNIEC)</w:t>
      </w:r>
      <w:r w:rsidR="00F41FD9">
        <w:rPr>
          <w:rFonts w:ascii="Arial" w:hAnsi="Arial" w:cs="Arial"/>
          <w:sz w:val="24"/>
          <w:szCs w:val="24"/>
        </w:rPr>
        <w:t xml:space="preserve">, che ogni SM deve </w:t>
      </w:r>
      <w:r w:rsidR="00F41FD9">
        <w:rPr>
          <w:rFonts w:ascii="Arial" w:hAnsi="Arial" w:cs="Arial"/>
          <w:sz w:val="24"/>
          <w:szCs w:val="24"/>
        </w:rPr>
        <w:lastRenderedPageBreak/>
        <w:t xml:space="preserve">obbligatoriamente predisporre secondo una precisa procedura ed essere approvato dal Comitato della Commissione Europea. </w:t>
      </w:r>
      <w:r w:rsidR="009D2FD5">
        <w:rPr>
          <w:rFonts w:ascii="Arial" w:hAnsi="Arial" w:cs="Arial"/>
          <w:sz w:val="24"/>
          <w:szCs w:val="24"/>
        </w:rPr>
        <w:t>La tabella</w:t>
      </w:r>
      <w:r w:rsidR="00FF0B91">
        <w:rPr>
          <w:rFonts w:ascii="Arial" w:hAnsi="Arial" w:cs="Arial"/>
          <w:sz w:val="24"/>
          <w:szCs w:val="24"/>
        </w:rPr>
        <w:t xml:space="preserve"> successiva</w:t>
      </w:r>
      <w:r w:rsidR="009D2FD5">
        <w:rPr>
          <w:rFonts w:ascii="Arial" w:hAnsi="Arial" w:cs="Arial"/>
          <w:sz w:val="24"/>
          <w:szCs w:val="24"/>
        </w:rPr>
        <w:t xml:space="preserve"> descrive gli elementi </w:t>
      </w:r>
      <w:r w:rsidR="00FF0B91">
        <w:rPr>
          <w:rFonts w:ascii="Arial" w:hAnsi="Arial" w:cs="Arial"/>
          <w:sz w:val="24"/>
          <w:szCs w:val="24"/>
        </w:rPr>
        <w:t xml:space="preserve">rilevanti del Regolamento relativi all’istituzione del PNIEC con riferimento al settore LULUCF. </w:t>
      </w:r>
    </w:p>
    <w:p w14:paraId="5BA4B768" w14:textId="77777777" w:rsidR="001C700A" w:rsidRDefault="001C700A" w:rsidP="0080286C">
      <w:pPr>
        <w:pStyle w:val="Corpotesto"/>
        <w:ind w:right="45"/>
        <w:jc w:val="both"/>
        <w:rPr>
          <w:rFonts w:ascii="Arial" w:hAnsi="Arial" w:cs="Arial"/>
          <w:sz w:val="24"/>
          <w:szCs w:val="24"/>
        </w:rPr>
      </w:pPr>
    </w:p>
    <w:p w14:paraId="2AF6F83B" w14:textId="7E109E2A" w:rsidR="0083671C" w:rsidRPr="00F9000A" w:rsidRDefault="0083671C" w:rsidP="0083671C">
      <w:pPr>
        <w:pStyle w:val="Corpotesto"/>
        <w:ind w:right="45"/>
        <w:jc w:val="both"/>
        <w:rPr>
          <w:rFonts w:ascii="Arial" w:hAnsi="Arial" w:cs="Arial"/>
          <w:b/>
          <w:bCs/>
          <w:sz w:val="24"/>
          <w:szCs w:val="24"/>
        </w:rPr>
      </w:pPr>
      <w:r w:rsidRPr="00F9000A">
        <w:rPr>
          <w:rFonts w:ascii="Arial" w:hAnsi="Arial" w:cs="Arial"/>
          <w:b/>
          <w:bCs/>
          <w:sz w:val="24"/>
          <w:szCs w:val="24"/>
        </w:rPr>
        <w:t xml:space="preserve">Tabella </w:t>
      </w:r>
      <w:r w:rsidR="00D11BDC">
        <w:rPr>
          <w:rFonts w:ascii="Arial" w:hAnsi="Arial" w:cs="Arial"/>
          <w:b/>
          <w:bCs/>
          <w:sz w:val="24"/>
          <w:szCs w:val="24"/>
        </w:rPr>
        <w:t>8</w:t>
      </w:r>
      <w:r w:rsidRPr="00F9000A">
        <w:rPr>
          <w:rFonts w:ascii="Arial" w:hAnsi="Arial" w:cs="Arial"/>
          <w:b/>
          <w:bCs/>
          <w:sz w:val="24"/>
          <w:szCs w:val="24"/>
        </w:rPr>
        <w:t xml:space="preserve"> - </w:t>
      </w:r>
      <w:r>
        <w:rPr>
          <w:rFonts w:ascii="Arial" w:hAnsi="Arial" w:cs="Arial"/>
          <w:b/>
          <w:bCs/>
          <w:sz w:val="24"/>
          <w:szCs w:val="24"/>
        </w:rPr>
        <w:t>Temi chiave per il settore LULUCF del Regolamento</w:t>
      </w:r>
      <w:r w:rsidRPr="00F9000A">
        <w:rPr>
          <w:rFonts w:ascii="Arial" w:hAnsi="Arial" w:cs="Arial"/>
          <w:b/>
          <w:bCs/>
          <w:sz w:val="24"/>
          <w:szCs w:val="24"/>
        </w:rPr>
        <w:t xml:space="preserve"> 2018</w:t>
      </w:r>
      <w:r>
        <w:rPr>
          <w:rFonts w:ascii="Arial" w:hAnsi="Arial" w:cs="Arial"/>
          <w:b/>
          <w:bCs/>
          <w:sz w:val="24"/>
          <w:szCs w:val="24"/>
        </w:rPr>
        <w:t>/1999</w:t>
      </w:r>
    </w:p>
    <w:tbl>
      <w:tblPr>
        <w:tblStyle w:val="Grigliatabella"/>
        <w:tblW w:w="0" w:type="auto"/>
        <w:tblLook w:val="04A0" w:firstRow="1" w:lastRow="0" w:firstColumn="1" w:lastColumn="0" w:noHBand="0" w:noVBand="1"/>
      </w:tblPr>
      <w:tblGrid>
        <w:gridCol w:w="1668"/>
        <w:gridCol w:w="4252"/>
        <w:gridCol w:w="3852"/>
      </w:tblGrid>
      <w:tr w:rsidR="0080286C" w:rsidRPr="0008297C" w14:paraId="7D91023E" w14:textId="77777777" w:rsidTr="00746BCD">
        <w:tc>
          <w:tcPr>
            <w:tcW w:w="1668" w:type="dxa"/>
          </w:tcPr>
          <w:p w14:paraId="2C254EBE" w14:textId="77777777" w:rsidR="0080286C" w:rsidRPr="0008297C" w:rsidRDefault="0080286C" w:rsidP="00746BCD">
            <w:pPr>
              <w:pStyle w:val="Corpotesto"/>
              <w:ind w:right="45"/>
              <w:jc w:val="center"/>
              <w:rPr>
                <w:rFonts w:ascii="Arial" w:hAnsi="Arial" w:cs="Arial"/>
                <w:b/>
                <w:bCs/>
                <w:sz w:val="24"/>
                <w:szCs w:val="24"/>
              </w:rPr>
            </w:pPr>
            <w:r w:rsidRPr="0008297C">
              <w:rPr>
                <w:rFonts w:ascii="Arial" w:hAnsi="Arial" w:cs="Arial"/>
                <w:b/>
                <w:bCs/>
                <w:sz w:val="24"/>
                <w:szCs w:val="24"/>
              </w:rPr>
              <w:t>Articolo</w:t>
            </w:r>
          </w:p>
        </w:tc>
        <w:tc>
          <w:tcPr>
            <w:tcW w:w="8104" w:type="dxa"/>
            <w:gridSpan w:val="2"/>
          </w:tcPr>
          <w:p w14:paraId="2E4A905D" w14:textId="77777777" w:rsidR="0080286C" w:rsidRPr="0008297C" w:rsidRDefault="0080286C" w:rsidP="00746BCD">
            <w:pPr>
              <w:pStyle w:val="Corpotesto"/>
              <w:ind w:right="45"/>
              <w:jc w:val="center"/>
              <w:rPr>
                <w:rFonts w:ascii="Arial" w:hAnsi="Arial" w:cs="Arial"/>
                <w:b/>
                <w:bCs/>
                <w:sz w:val="24"/>
                <w:szCs w:val="24"/>
              </w:rPr>
            </w:pPr>
            <w:r>
              <w:rPr>
                <w:rFonts w:ascii="Arial" w:hAnsi="Arial" w:cs="Arial"/>
                <w:b/>
                <w:bCs/>
                <w:sz w:val="24"/>
                <w:szCs w:val="24"/>
              </w:rPr>
              <w:t>Elementi rilevanti enunciati nelle premesse</w:t>
            </w:r>
          </w:p>
        </w:tc>
      </w:tr>
      <w:tr w:rsidR="0080286C" w14:paraId="2FE8076B" w14:textId="77777777" w:rsidTr="00746BCD">
        <w:tc>
          <w:tcPr>
            <w:tcW w:w="1668" w:type="dxa"/>
          </w:tcPr>
          <w:p w14:paraId="519FF2FA" w14:textId="77777777" w:rsidR="0080286C" w:rsidRPr="00575F69" w:rsidRDefault="0080286C" w:rsidP="00746BCD">
            <w:pPr>
              <w:pStyle w:val="Corpotesto"/>
              <w:ind w:right="45"/>
              <w:jc w:val="both"/>
              <w:rPr>
                <w:rFonts w:ascii="Arial" w:hAnsi="Arial" w:cs="Arial"/>
                <w:sz w:val="20"/>
                <w:szCs w:val="20"/>
              </w:rPr>
            </w:pPr>
            <w:r w:rsidRPr="00575F69">
              <w:rPr>
                <w:rFonts w:ascii="Arial" w:hAnsi="Arial" w:cs="Arial"/>
                <w:sz w:val="20"/>
                <w:szCs w:val="20"/>
              </w:rPr>
              <w:t>Premessa 37</w:t>
            </w:r>
          </w:p>
        </w:tc>
        <w:tc>
          <w:tcPr>
            <w:tcW w:w="8104" w:type="dxa"/>
            <w:gridSpan w:val="2"/>
          </w:tcPr>
          <w:p w14:paraId="003943BB" w14:textId="42FFE41E" w:rsidR="0080286C" w:rsidRDefault="0080286C" w:rsidP="00746BCD">
            <w:pPr>
              <w:pStyle w:val="Corpotesto"/>
              <w:ind w:right="45"/>
              <w:jc w:val="both"/>
              <w:rPr>
                <w:rFonts w:ascii="Arial" w:hAnsi="Arial" w:cs="Arial"/>
                <w:sz w:val="24"/>
                <w:szCs w:val="24"/>
              </w:rPr>
            </w:pPr>
            <w:r w:rsidRPr="00575F69">
              <w:rPr>
                <w:rFonts w:ascii="Arial" w:hAnsi="Arial" w:cs="Arial"/>
                <w:sz w:val="20"/>
                <w:szCs w:val="20"/>
              </w:rPr>
              <w:t>Si riconosce l’importanza essenziale del settore LULUCF quale fattor</w:t>
            </w:r>
            <w:r w:rsidR="006E0985">
              <w:rPr>
                <w:rFonts w:ascii="Arial" w:hAnsi="Arial" w:cs="Arial"/>
                <w:sz w:val="20"/>
                <w:szCs w:val="20"/>
              </w:rPr>
              <w:t>e</w:t>
            </w:r>
            <w:r w:rsidRPr="00575F69">
              <w:rPr>
                <w:rFonts w:ascii="Arial" w:hAnsi="Arial" w:cs="Arial"/>
                <w:sz w:val="20"/>
                <w:szCs w:val="20"/>
              </w:rPr>
              <w:t xml:space="preserve"> che “</w:t>
            </w:r>
            <w:r w:rsidR="00134E80">
              <w:rPr>
                <w:rFonts w:ascii="Arial" w:hAnsi="Arial" w:cs="Arial"/>
                <w:sz w:val="20"/>
                <w:szCs w:val="20"/>
              </w:rPr>
              <w:t>(</w:t>
            </w:r>
            <w:r w:rsidRPr="00575F69">
              <w:rPr>
                <w:rFonts w:ascii="Arial" w:hAnsi="Arial" w:cs="Arial"/>
                <w:sz w:val="20"/>
                <w:szCs w:val="20"/>
              </w:rPr>
              <w:t>…</w:t>
            </w:r>
            <w:r w:rsidR="00134E80">
              <w:rPr>
                <w:rFonts w:ascii="Arial" w:hAnsi="Arial" w:cs="Arial"/>
                <w:sz w:val="20"/>
                <w:szCs w:val="20"/>
              </w:rPr>
              <w:t>)</w:t>
            </w:r>
            <w:r w:rsidR="006E0985">
              <w:rPr>
                <w:rFonts w:ascii="Arial" w:hAnsi="Arial" w:cs="Arial"/>
                <w:sz w:val="20"/>
                <w:szCs w:val="20"/>
              </w:rPr>
              <w:t xml:space="preserve"> </w:t>
            </w:r>
            <w:r w:rsidRPr="00575F69">
              <w:rPr>
                <w:rFonts w:ascii="Arial" w:hAnsi="Arial" w:cs="Arial"/>
                <w:sz w:val="20"/>
                <w:szCs w:val="20"/>
              </w:rPr>
              <w:t xml:space="preserve">può contribuire alla mitigazione dei cambiamenti climatici in vari modi, in particolare riducendo le emissioni e mantenendo e incrementando pozzi e riserve di carbonio, nonché fornendo biomateriali che possono sostituire i materiali fossili o ad alta intensità di carbonio. Le strategie a lungo termine che sostengono gli investimenti sostenibili </w:t>
            </w:r>
            <w:r w:rsidR="00134E80">
              <w:rPr>
                <w:rFonts w:ascii="Arial" w:hAnsi="Arial" w:cs="Arial"/>
                <w:sz w:val="20"/>
                <w:szCs w:val="20"/>
              </w:rPr>
              <w:t>(</w:t>
            </w:r>
            <w:r w:rsidRPr="00575F69">
              <w:rPr>
                <w:rFonts w:ascii="Arial" w:hAnsi="Arial" w:cs="Arial"/>
                <w:sz w:val="20"/>
                <w:szCs w:val="20"/>
              </w:rPr>
              <w:t>…</w:t>
            </w:r>
            <w:r w:rsidR="00134E80">
              <w:rPr>
                <w:rFonts w:ascii="Arial" w:hAnsi="Arial" w:cs="Arial"/>
                <w:sz w:val="20"/>
                <w:szCs w:val="20"/>
              </w:rPr>
              <w:t>)</w:t>
            </w:r>
            <w:r w:rsidRPr="00575F69">
              <w:rPr>
                <w:rFonts w:ascii="Arial" w:hAnsi="Arial" w:cs="Arial"/>
                <w:sz w:val="20"/>
                <w:szCs w:val="20"/>
              </w:rPr>
              <w:t xml:space="preserve"> sono essenziali.</w:t>
            </w:r>
          </w:p>
        </w:tc>
      </w:tr>
      <w:tr w:rsidR="0080286C" w14:paraId="7B74E48F" w14:textId="77777777" w:rsidTr="00746BCD">
        <w:tc>
          <w:tcPr>
            <w:tcW w:w="1668" w:type="dxa"/>
          </w:tcPr>
          <w:p w14:paraId="73716D56" w14:textId="77777777" w:rsidR="0080286C" w:rsidRPr="00575F69" w:rsidRDefault="0080286C" w:rsidP="00746BCD">
            <w:pPr>
              <w:pStyle w:val="Corpotesto"/>
              <w:ind w:right="45"/>
              <w:jc w:val="both"/>
              <w:rPr>
                <w:rFonts w:ascii="Arial" w:hAnsi="Arial" w:cs="Arial"/>
                <w:sz w:val="20"/>
                <w:szCs w:val="20"/>
              </w:rPr>
            </w:pPr>
            <w:r w:rsidRPr="00575F69">
              <w:rPr>
                <w:rFonts w:ascii="Arial" w:hAnsi="Arial" w:cs="Arial"/>
                <w:sz w:val="20"/>
                <w:szCs w:val="20"/>
              </w:rPr>
              <w:t xml:space="preserve">Premessa </w:t>
            </w:r>
            <w:r>
              <w:rPr>
                <w:rFonts w:ascii="Arial" w:hAnsi="Arial" w:cs="Arial"/>
                <w:sz w:val="20"/>
                <w:szCs w:val="20"/>
              </w:rPr>
              <w:t>41</w:t>
            </w:r>
          </w:p>
        </w:tc>
        <w:tc>
          <w:tcPr>
            <w:tcW w:w="8104" w:type="dxa"/>
            <w:gridSpan w:val="2"/>
          </w:tcPr>
          <w:p w14:paraId="617C5FD2" w14:textId="77777777" w:rsidR="0080286C" w:rsidRDefault="0080286C" w:rsidP="00746BCD">
            <w:pPr>
              <w:pStyle w:val="Corpotesto"/>
              <w:ind w:right="45"/>
              <w:jc w:val="both"/>
              <w:rPr>
                <w:rFonts w:ascii="Arial" w:hAnsi="Arial" w:cs="Arial"/>
                <w:sz w:val="24"/>
                <w:szCs w:val="24"/>
              </w:rPr>
            </w:pPr>
            <w:r w:rsidRPr="00B31C27">
              <w:rPr>
                <w:rFonts w:ascii="Arial" w:hAnsi="Arial" w:cs="Arial"/>
                <w:sz w:val="20"/>
                <w:szCs w:val="20"/>
              </w:rPr>
              <w:t>Gli inventari delle emissioni di gas a effetto serra sono cruciali per consentire il monitoraggio dei progressi nell'attuazione della dimensione della decarbonizzazione e per valutare la conformità con la legislazione in materia di clima, in particolare il regolamento (UE) 2018/842 del Parlamento europeo e del Consiglio e il regolamento (UE) 2018/841 del Parlamento europeo e del Consiglio.</w:t>
            </w:r>
          </w:p>
        </w:tc>
      </w:tr>
      <w:tr w:rsidR="0080286C" w:rsidRPr="0008297C" w14:paraId="0E83E3CE" w14:textId="77777777" w:rsidTr="00746BCD">
        <w:tc>
          <w:tcPr>
            <w:tcW w:w="1668" w:type="dxa"/>
          </w:tcPr>
          <w:p w14:paraId="4E714A05" w14:textId="77777777" w:rsidR="0080286C" w:rsidRPr="0008297C" w:rsidRDefault="0080286C" w:rsidP="00746BCD">
            <w:pPr>
              <w:pStyle w:val="Corpotesto"/>
              <w:ind w:right="45"/>
              <w:jc w:val="center"/>
              <w:rPr>
                <w:rFonts w:ascii="Arial" w:hAnsi="Arial" w:cs="Arial"/>
                <w:b/>
                <w:bCs/>
                <w:sz w:val="24"/>
                <w:szCs w:val="24"/>
              </w:rPr>
            </w:pPr>
            <w:r w:rsidRPr="0008297C">
              <w:rPr>
                <w:rFonts w:ascii="Arial" w:hAnsi="Arial" w:cs="Arial"/>
                <w:b/>
                <w:bCs/>
                <w:sz w:val="24"/>
                <w:szCs w:val="24"/>
              </w:rPr>
              <w:t>Articolo</w:t>
            </w:r>
          </w:p>
        </w:tc>
        <w:tc>
          <w:tcPr>
            <w:tcW w:w="4252" w:type="dxa"/>
          </w:tcPr>
          <w:p w14:paraId="6B317642" w14:textId="77777777" w:rsidR="0080286C" w:rsidRPr="0008297C" w:rsidRDefault="0080286C" w:rsidP="00746BCD">
            <w:pPr>
              <w:pStyle w:val="Corpotesto"/>
              <w:ind w:right="45"/>
              <w:jc w:val="center"/>
              <w:rPr>
                <w:rFonts w:ascii="Arial" w:hAnsi="Arial" w:cs="Arial"/>
                <w:b/>
                <w:bCs/>
                <w:sz w:val="24"/>
                <w:szCs w:val="24"/>
              </w:rPr>
            </w:pPr>
            <w:r w:rsidRPr="0008297C">
              <w:rPr>
                <w:rFonts w:ascii="Arial" w:hAnsi="Arial" w:cs="Arial"/>
                <w:b/>
                <w:bCs/>
                <w:sz w:val="24"/>
                <w:szCs w:val="24"/>
              </w:rPr>
              <w:t>Descrizione</w:t>
            </w:r>
          </w:p>
        </w:tc>
        <w:tc>
          <w:tcPr>
            <w:tcW w:w="3852" w:type="dxa"/>
          </w:tcPr>
          <w:p w14:paraId="6392B703" w14:textId="77777777" w:rsidR="0080286C" w:rsidRPr="0008297C" w:rsidRDefault="0080286C" w:rsidP="00746BCD">
            <w:pPr>
              <w:pStyle w:val="Corpotesto"/>
              <w:ind w:right="45"/>
              <w:jc w:val="center"/>
              <w:rPr>
                <w:rFonts w:ascii="Arial" w:hAnsi="Arial" w:cs="Arial"/>
                <w:b/>
                <w:bCs/>
                <w:sz w:val="24"/>
                <w:szCs w:val="24"/>
              </w:rPr>
            </w:pPr>
            <w:r w:rsidRPr="0008297C">
              <w:rPr>
                <w:rFonts w:ascii="Arial" w:hAnsi="Arial" w:cs="Arial"/>
                <w:b/>
                <w:bCs/>
                <w:sz w:val="24"/>
                <w:szCs w:val="24"/>
              </w:rPr>
              <w:t>Considerazioni e riferimenti</w:t>
            </w:r>
          </w:p>
        </w:tc>
      </w:tr>
      <w:tr w:rsidR="0080286C" w14:paraId="65D71F23" w14:textId="77777777" w:rsidTr="00746BCD">
        <w:tc>
          <w:tcPr>
            <w:tcW w:w="1668" w:type="dxa"/>
          </w:tcPr>
          <w:p w14:paraId="74C71705" w14:textId="77777777" w:rsidR="0080286C" w:rsidRPr="00575F69" w:rsidRDefault="0080286C" w:rsidP="00746BCD">
            <w:pPr>
              <w:pStyle w:val="Corpotesto"/>
              <w:ind w:right="45"/>
              <w:jc w:val="both"/>
              <w:rPr>
                <w:rFonts w:ascii="Arial" w:hAnsi="Arial" w:cs="Arial"/>
                <w:sz w:val="20"/>
                <w:szCs w:val="20"/>
              </w:rPr>
            </w:pPr>
            <w:r>
              <w:rPr>
                <w:rFonts w:ascii="Arial" w:hAnsi="Arial" w:cs="Arial"/>
                <w:sz w:val="20"/>
                <w:szCs w:val="20"/>
              </w:rPr>
              <w:t>Capo 2 - Articoli 3 -14</w:t>
            </w:r>
          </w:p>
        </w:tc>
        <w:tc>
          <w:tcPr>
            <w:tcW w:w="4252" w:type="dxa"/>
          </w:tcPr>
          <w:p w14:paraId="14CB1C12" w14:textId="0BD2ED33" w:rsidR="0080286C" w:rsidRPr="00D66A3C" w:rsidRDefault="0080286C" w:rsidP="00746BCD">
            <w:pPr>
              <w:pStyle w:val="Corpotesto"/>
              <w:ind w:right="45"/>
              <w:jc w:val="both"/>
              <w:rPr>
                <w:rFonts w:ascii="Arial" w:hAnsi="Arial" w:cs="Arial"/>
                <w:sz w:val="20"/>
                <w:szCs w:val="20"/>
              </w:rPr>
            </w:pPr>
            <w:r w:rsidRPr="00D66A3C">
              <w:rPr>
                <w:rFonts w:ascii="Arial" w:hAnsi="Arial" w:cs="Arial"/>
                <w:sz w:val="20"/>
                <w:szCs w:val="20"/>
              </w:rPr>
              <w:t xml:space="preserve">Istituzione dei </w:t>
            </w:r>
            <w:r w:rsidRPr="00D66A3C">
              <w:rPr>
                <w:rFonts w:ascii="Arial" w:hAnsi="Arial" w:cs="Arial"/>
                <w:b/>
                <w:bCs/>
                <w:sz w:val="19"/>
                <w:szCs w:val="19"/>
              </w:rPr>
              <w:t xml:space="preserve">Piani nazionali integrati per l'energia e il clima (PNIEC). </w:t>
            </w:r>
            <w:r w:rsidRPr="00D66A3C">
              <w:rPr>
                <w:rFonts w:ascii="Arial" w:hAnsi="Arial" w:cs="Arial"/>
                <w:sz w:val="19"/>
                <w:szCs w:val="19"/>
              </w:rPr>
              <w:t>Definizione delle regole di costituzione, presentazione, durata (10 anni)</w:t>
            </w:r>
            <w:r w:rsidR="00D03154" w:rsidRPr="00D66A3C">
              <w:rPr>
                <w:rFonts w:ascii="Arial" w:hAnsi="Arial" w:cs="Arial"/>
                <w:sz w:val="19"/>
                <w:szCs w:val="19"/>
              </w:rPr>
              <w:t>,</w:t>
            </w:r>
            <w:r w:rsidRPr="00D66A3C">
              <w:rPr>
                <w:rFonts w:ascii="Arial" w:hAnsi="Arial" w:cs="Arial"/>
                <w:sz w:val="19"/>
                <w:szCs w:val="19"/>
              </w:rPr>
              <w:t xml:space="preserve"> aggiornamenti, procedure di controllo e valutazione. Individuazione delle quote e delle traiettorie di adeguamento.</w:t>
            </w:r>
            <w:r w:rsidRPr="00D66A3C">
              <w:rPr>
                <w:rFonts w:ascii="Arial" w:hAnsi="Arial" w:cs="Arial"/>
                <w:b/>
                <w:bCs/>
                <w:sz w:val="19"/>
                <w:szCs w:val="19"/>
              </w:rPr>
              <w:t xml:space="preserve"> </w:t>
            </w:r>
            <w:r w:rsidRPr="00D66A3C">
              <w:rPr>
                <w:rFonts w:ascii="Arial" w:hAnsi="Arial" w:cs="Arial"/>
                <w:sz w:val="19"/>
                <w:szCs w:val="19"/>
              </w:rPr>
              <w:t>Obbiettivi principali per il 2030: 32% quota energia da fonti rinnovabili a livello UE, 32,5% per l’efficienza energetica.</w:t>
            </w:r>
          </w:p>
        </w:tc>
        <w:tc>
          <w:tcPr>
            <w:tcW w:w="3852" w:type="dxa"/>
          </w:tcPr>
          <w:p w14:paraId="4F009EC1" w14:textId="6F89BF2C" w:rsidR="0080286C" w:rsidRPr="00D851EA" w:rsidRDefault="0080286C" w:rsidP="00746BCD">
            <w:pPr>
              <w:pStyle w:val="Corpotesto"/>
              <w:ind w:right="45"/>
              <w:jc w:val="both"/>
              <w:rPr>
                <w:rFonts w:ascii="Arial" w:hAnsi="Arial" w:cs="Arial"/>
                <w:sz w:val="20"/>
                <w:szCs w:val="20"/>
              </w:rPr>
            </w:pPr>
            <w:r w:rsidRPr="00D851EA">
              <w:rPr>
                <w:rFonts w:ascii="Arial" w:hAnsi="Arial" w:cs="Arial"/>
                <w:sz w:val="20"/>
                <w:szCs w:val="20"/>
              </w:rPr>
              <w:t xml:space="preserve">Il PNIEC deve contenere temi, dati e obbiettivi chiaramente definiti nel Regolamento. Nell’art. 4, nella descrizione relativa agli obbiettivi di “decarbonizzazione” viene indicato alla lettera ii) gli impegni dello Stato membro a norma del regolamento (UE) 2018/841. In altri termini, gli obbiettivi descritti nel Reg. </w:t>
            </w:r>
            <w:r w:rsidR="006863D6" w:rsidRPr="00D851EA">
              <w:rPr>
                <w:rFonts w:ascii="Arial" w:hAnsi="Arial" w:cs="Arial"/>
                <w:sz w:val="20"/>
                <w:szCs w:val="20"/>
              </w:rPr>
              <w:t>2018</w:t>
            </w:r>
            <w:r w:rsidR="006863D6">
              <w:rPr>
                <w:rFonts w:ascii="Arial" w:hAnsi="Arial" w:cs="Arial"/>
                <w:sz w:val="20"/>
                <w:szCs w:val="20"/>
              </w:rPr>
              <w:t>/</w:t>
            </w:r>
            <w:r w:rsidRPr="00D851EA">
              <w:rPr>
                <w:rFonts w:ascii="Arial" w:hAnsi="Arial" w:cs="Arial"/>
                <w:sz w:val="20"/>
                <w:szCs w:val="20"/>
              </w:rPr>
              <w:t>841, i FRL e il NF</w:t>
            </w:r>
            <w:r w:rsidR="006863D6">
              <w:rPr>
                <w:rFonts w:ascii="Arial" w:hAnsi="Arial" w:cs="Arial"/>
                <w:sz w:val="20"/>
                <w:szCs w:val="20"/>
              </w:rPr>
              <w:t>AP</w:t>
            </w:r>
            <w:r w:rsidRPr="00D851EA">
              <w:rPr>
                <w:rFonts w:ascii="Arial" w:hAnsi="Arial" w:cs="Arial"/>
                <w:sz w:val="20"/>
                <w:szCs w:val="20"/>
              </w:rPr>
              <w:t xml:space="preserve"> devon</w:t>
            </w:r>
            <w:r>
              <w:rPr>
                <w:rFonts w:ascii="Arial" w:hAnsi="Arial" w:cs="Arial"/>
                <w:sz w:val="20"/>
                <w:szCs w:val="20"/>
              </w:rPr>
              <w:t>o</w:t>
            </w:r>
            <w:r w:rsidRPr="00D851EA">
              <w:rPr>
                <w:rFonts w:ascii="Arial" w:hAnsi="Arial" w:cs="Arial"/>
                <w:sz w:val="20"/>
                <w:szCs w:val="20"/>
              </w:rPr>
              <w:t xml:space="preserve"> essere considerati nell’ambito generale del PNIEC. </w:t>
            </w:r>
          </w:p>
        </w:tc>
      </w:tr>
      <w:tr w:rsidR="0080286C" w14:paraId="42BE80CE" w14:textId="77777777" w:rsidTr="00746BCD">
        <w:tc>
          <w:tcPr>
            <w:tcW w:w="1668" w:type="dxa"/>
          </w:tcPr>
          <w:p w14:paraId="08D2776E" w14:textId="77777777" w:rsidR="0080286C" w:rsidRPr="00575F69" w:rsidRDefault="0080286C" w:rsidP="00746BCD">
            <w:pPr>
              <w:pStyle w:val="Corpotesto"/>
              <w:ind w:right="45"/>
              <w:jc w:val="both"/>
              <w:rPr>
                <w:rFonts w:ascii="Arial" w:hAnsi="Arial" w:cs="Arial"/>
                <w:sz w:val="20"/>
                <w:szCs w:val="20"/>
              </w:rPr>
            </w:pPr>
            <w:r>
              <w:rPr>
                <w:rFonts w:ascii="Arial" w:hAnsi="Arial" w:cs="Arial"/>
                <w:sz w:val="20"/>
                <w:szCs w:val="20"/>
              </w:rPr>
              <w:t>Articolo 15</w:t>
            </w:r>
          </w:p>
        </w:tc>
        <w:tc>
          <w:tcPr>
            <w:tcW w:w="4252" w:type="dxa"/>
          </w:tcPr>
          <w:p w14:paraId="47DE0785" w14:textId="6751DE5F" w:rsidR="00D66A3C" w:rsidRPr="00D66A3C" w:rsidRDefault="00D66A3C" w:rsidP="00746BCD">
            <w:pPr>
              <w:pStyle w:val="Corpotesto"/>
              <w:ind w:right="45"/>
              <w:jc w:val="both"/>
              <w:rPr>
                <w:rFonts w:ascii="Arial" w:hAnsi="Arial" w:cs="Arial"/>
                <w:sz w:val="20"/>
                <w:szCs w:val="20"/>
              </w:rPr>
            </w:pPr>
            <w:r w:rsidRPr="00D66A3C">
              <w:rPr>
                <w:rFonts w:ascii="Arial" w:hAnsi="Arial" w:cs="Arial"/>
                <w:b/>
                <w:bCs/>
                <w:sz w:val="19"/>
                <w:szCs w:val="19"/>
              </w:rPr>
              <w:t>Strategie a lungo termine</w:t>
            </w:r>
          </w:p>
          <w:p w14:paraId="0D3C7827" w14:textId="60DE3682" w:rsidR="0080286C" w:rsidRPr="00D66A3C" w:rsidRDefault="0080286C" w:rsidP="00746BCD">
            <w:pPr>
              <w:pStyle w:val="Corpotesto"/>
              <w:ind w:right="45"/>
              <w:jc w:val="both"/>
              <w:rPr>
                <w:rFonts w:ascii="Arial" w:hAnsi="Arial" w:cs="Arial"/>
                <w:sz w:val="20"/>
                <w:szCs w:val="20"/>
              </w:rPr>
            </w:pPr>
            <w:r w:rsidRPr="00D66A3C">
              <w:rPr>
                <w:rFonts w:ascii="Arial" w:hAnsi="Arial" w:cs="Arial"/>
                <w:sz w:val="20"/>
                <w:szCs w:val="20"/>
              </w:rPr>
              <w:t xml:space="preserve">Oltre al PNIEC devono essere elaborati ogni </w:t>
            </w:r>
            <w:proofErr w:type="gramStart"/>
            <w:r w:rsidRPr="00D66A3C">
              <w:rPr>
                <w:rFonts w:ascii="Arial" w:hAnsi="Arial" w:cs="Arial"/>
                <w:sz w:val="20"/>
                <w:szCs w:val="20"/>
              </w:rPr>
              <w:t>10</w:t>
            </w:r>
            <w:proofErr w:type="gramEnd"/>
            <w:r w:rsidRPr="00D66A3C">
              <w:rPr>
                <w:rFonts w:ascii="Arial" w:hAnsi="Arial" w:cs="Arial"/>
                <w:sz w:val="20"/>
                <w:szCs w:val="20"/>
              </w:rPr>
              <w:t xml:space="preserve"> anni Piani strategici di lungo termine. In questi piani devono essere riportati la riduzione delle emissioni e l’aumento di assorbimento di singoli settori, come energia, industria, trasporti, edilizia e ambito LULUCF. </w:t>
            </w:r>
          </w:p>
        </w:tc>
        <w:tc>
          <w:tcPr>
            <w:tcW w:w="3852" w:type="dxa"/>
          </w:tcPr>
          <w:p w14:paraId="63DA24B1" w14:textId="532EA9B3" w:rsidR="0080286C" w:rsidRPr="00D851EA" w:rsidRDefault="0080286C" w:rsidP="00746BCD">
            <w:pPr>
              <w:pStyle w:val="Corpotesto"/>
              <w:ind w:right="45"/>
              <w:jc w:val="both"/>
              <w:rPr>
                <w:rFonts w:ascii="Arial" w:hAnsi="Arial" w:cs="Arial"/>
                <w:sz w:val="20"/>
                <w:szCs w:val="20"/>
              </w:rPr>
            </w:pPr>
            <w:r>
              <w:rPr>
                <w:rFonts w:ascii="Arial" w:hAnsi="Arial" w:cs="Arial"/>
                <w:sz w:val="20"/>
                <w:szCs w:val="20"/>
              </w:rPr>
              <w:t xml:space="preserve">Le strategie forestali che contribuiscono all’accrescimento del carbon </w:t>
            </w:r>
            <w:proofErr w:type="spellStart"/>
            <w:r>
              <w:rPr>
                <w:rFonts w:ascii="Arial" w:hAnsi="Arial" w:cs="Arial"/>
                <w:sz w:val="20"/>
                <w:szCs w:val="20"/>
              </w:rPr>
              <w:t>sink</w:t>
            </w:r>
            <w:proofErr w:type="spellEnd"/>
            <w:r>
              <w:rPr>
                <w:rFonts w:ascii="Arial" w:hAnsi="Arial" w:cs="Arial"/>
                <w:sz w:val="20"/>
                <w:szCs w:val="20"/>
              </w:rPr>
              <w:t xml:space="preserve"> andrebbero </w:t>
            </w:r>
            <w:r w:rsidR="006F0010">
              <w:rPr>
                <w:rFonts w:ascii="Arial" w:hAnsi="Arial" w:cs="Arial"/>
                <w:sz w:val="20"/>
                <w:szCs w:val="20"/>
              </w:rPr>
              <w:t xml:space="preserve">vanno </w:t>
            </w:r>
            <w:r>
              <w:rPr>
                <w:rFonts w:ascii="Arial" w:hAnsi="Arial" w:cs="Arial"/>
                <w:sz w:val="20"/>
                <w:szCs w:val="20"/>
              </w:rPr>
              <w:t xml:space="preserve">contemplate nel PNIEC. </w:t>
            </w:r>
            <w:r w:rsidR="006F0010">
              <w:rPr>
                <w:rFonts w:ascii="Arial" w:hAnsi="Arial" w:cs="Arial"/>
                <w:sz w:val="20"/>
                <w:szCs w:val="20"/>
              </w:rPr>
              <w:t>Sotto questa prospettiva il NFAP</w:t>
            </w:r>
            <w:r w:rsidR="009453C0">
              <w:rPr>
                <w:rFonts w:ascii="Arial" w:hAnsi="Arial" w:cs="Arial"/>
                <w:sz w:val="20"/>
                <w:szCs w:val="20"/>
              </w:rPr>
              <w:t xml:space="preserve"> per il calcolo dei FRL deve essere collegato al PNIEC.</w:t>
            </w:r>
          </w:p>
        </w:tc>
      </w:tr>
      <w:tr w:rsidR="0080286C" w14:paraId="1539C974" w14:textId="77777777" w:rsidTr="00746BCD">
        <w:tc>
          <w:tcPr>
            <w:tcW w:w="1668" w:type="dxa"/>
          </w:tcPr>
          <w:p w14:paraId="216024E5" w14:textId="77777777" w:rsidR="0080286C" w:rsidRPr="00575F69" w:rsidRDefault="0080286C" w:rsidP="00746BCD">
            <w:pPr>
              <w:pStyle w:val="Corpotesto"/>
              <w:ind w:right="45"/>
              <w:jc w:val="both"/>
              <w:rPr>
                <w:rFonts w:ascii="Arial" w:hAnsi="Arial" w:cs="Arial"/>
                <w:sz w:val="20"/>
                <w:szCs w:val="20"/>
              </w:rPr>
            </w:pPr>
            <w:r>
              <w:rPr>
                <w:rFonts w:ascii="Arial" w:hAnsi="Arial" w:cs="Arial"/>
                <w:sz w:val="20"/>
                <w:szCs w:val="20"/>
              </w:rPr>
              <w:t>Articolo 20</w:t>
            </w:r>
          </w:p>
        </w:tc>
        <w:tc>
          <w:tcPr>
            <w:tcW w:w="4252" w:type="dxa"/>
          </w:tcPr>
          <w:p w14:paraId="585D9117" w14:textId="77777777" w:rsidR="00B26A18" w:rsidRPr="00D66A3C" w:rsidRDefault="00B26A18" w:rsidP="00746BCD">
            <w:pPr>
              <w:pStyle w:val="Corpotesto"/>
              <w:ind w:right="45"/>
              <w:jc w:val="both"/>
              <w:rPr>
                <w:rFonts w:ascii="Arial" w:hAnsi="Arial" w:cs="Arial"/>
                <w:b/>
                <w:bCs/>
                <w:sz w:val="19"/>
                <w:szCs w:val="19"/>
              </w:rPr>
            </w:pPr>
            <w:r w:rsidRPr="00D66A3C">
              <w:rPr>
                <w:rFonts w:ascii="Arial" w:hAnsi="Arial" w:cs="Arial"/>
                <w:b/>
                <w:bCs/>
                <w:sz w:val="19"/>
                <w:szCs w:val="19"/>
              </w:rPr>
              <w:t xml:space="preserve">Comunicazioni integrate relative all'energia rinnovabile </w:t>
            </w:r>
          </w:p>
          <w:p w14:paraId="007438AA" w14:textId="177B0474" w:rsidR="0080286C" w:rsidRPr="00D66A3C" w:rsidRDefault="00B26A18" w:rsidP="00746BCD">
            <w:pPr>
              <w:pStyle w:val="Corpotesto"/>
              <w:ind w:right="45"/>
              <w:jc w:val="both"/>
              <w:rPr>
                <w:rFonts w:ascii="Arial" w:hAnsi="Arial" w:cs="Arial"/>
                <w:sz w:val="20"/>
                <w:szCs w:val="20"/>
              </w:rPr>
            </w:pPr>
            <w:r w:rsidRPr="00D66A3C">
              <w:rPr>
                <w:rFonts w:ascii="Arial" w:hAnsi="Arial" w:cs="Arial"/>
                <w:sz w:val="19"/>
                <w:szCs w:val="19"/>
              </w:rPr>
              <w:t xml:space="preserve">Al </w:t>
            </w:r>
            <w:r w:rsidR="0080286C" w:rsidRPr="00D66A3C">
              <w:rPr>
                <w:rFonts w:ascii="Arial" w:hAnsi="Arial" w:cs="Arial"/>
                <w:sz w:val="20"/>
                <w:szCs w:val="20"/>
              </w:rPr>
              <w:t xml:space="preserve">Punto a) </w:t>
            </w:r>
            <w:proofErr w:type="spellStart"/>
            <w:r w:rsidR="0080286C" w:rsidRPr="00D66A3C">
              <w:rPr>
                <w:rFonts w:ascii="Arial" w:hAnsi="Arial" w:cs="Arial"/>
                <w:sz w:val="20"/>
                <w:szCs w:val="20"/>
              </w:rPr>
              <w:t>num</w:t>
            </w:r>
            <w:proofErr w:type="spellEnd"/>
            <w:r w:rsidR="0080286C" w:rsidRPr="00D66A3C">
              <w:rPr>
                <w:rFonts w:ascii="Arial" w:hAnsi="Arial" w:cs="Arial"/>
                <w:sz w:val="20"/>
                <w:szCs w:val="20"/>
              </w:rPr>
              <w:t>. 4 specifica</w:t>
            </w:r>
            <w:r w:rsidR="005B602C" w:rsidRPr="00D66A3C">
              <w:rPr>
                <w:rFonts w:ascii="Arial" w:hAnsi="Arial" w:cs="Arial"/>
                <w:sz w:val="20"/>
                <w:szCs w:val="20"/>
              </w:rPr>
              <w:t xml:space="preserve"> che </w:t>
            </w:r>
            <w:r w:rsidRPr="00D66A3C">
              <w:rPr>
                <w:rFonts w:ascii="Arial" w:hAnsi="Arial" w:cs="Arial"/>
                <w:sz w:val="20"/>
                <w:szCs w:val="20"/>
              </w:rPr>
              <w:t>dev</w:t>
            </w:r>
            <w:r w:rsidR="00382291" w:rsidRPr="00D66A3C">
              <w:rPr>
                <w:rFonts w:ascii="Arial" w:hAnsi="Arial" w:cs="Arial"/>
                <w:sz w:val="20"/>
                <w:szCs w:val="20"/>
              </w:rPr>
              <w:t>ono essere considerate le</w:t>
            </w:r>
            <w:r w:rsidR="0080286C" w:rsidRPr="00D66A3C">
              <w:rPr>
                <w:rFonts w:ascii="Arial" w:hAnsi="Arial" w:cs="Arial"/>
                <w:sz w:val="20"/>
                <w:szCs w:val="20"/>
              </w:rPr>
              <w:t xml:space="preserve">: </w:t>
            </w:r>
            <w:r w:rsidR="0080286C" w:rsidRPr="00D66A3C">
              <w:rPr>
                <w:rFonts w:ascii="Arial" w:hAnsi="Arial" w:cs="Arial"/>
                <w:i/>
                <w:iCs/>
                <w:sz w:val="20"/>
                <w:szCs w:val="20"/>
              </w:rPr>
              <w:t>traiettorie della domanda di bioenergia disaggregate tra riscaldamento, energia elettrica e trasporti, e dell'offerta di biomassa ripartite tra materia prima e origine (distinguendo tra produzione interna e importazioni). Per la biomassa forestale, una valutazione della fonte e dell'impatto sul pozzo di assorbimento LULUCF;</w:t>
            </w:r>
            <w:r w:rsidR="0080286C" w:rsidRPr="00D66A3C">
              <w:rPr>
                <w:rFonts w:ascii="Arial" w:hAnsi="Arial" w:cs="Arial"/>
                <w:sz w:val="19"/>
                <w:szCs w:val="19"/>
              </w:rPr>
              <w:t xml:space="preserve"> </w:t>
            </w:r>
            <w:r w:rsidR="0080286C" w:rsidRPr="00D66A3C">
              <w:rPr>
                <w:rFonts w:ascii="Arial" w:hAnsi="Arial" w:cs="Arial"/>
                <w:sz w:val="20"/>
                <w:szCs w:val="20"/>
              </w:rPr>
              <w:t xml:space="preserve"> </w:t>
            </w:r>
          </w:p>
        </w:tc>
        <w:tc>
          <w:tcPr>
            <w:tcW w:w="3852" w:type="dxa"/>
          </w:tcPr>
          <w:p w14:paraId="05AE9293" w14:textId="5A9B14B7" w:rsidR="0080286C" w:rsidRPr="00D851EA" w:rsidRDefault="0080286C" w:rsidP="00746BCD">
            <w:pPr>
              <w:pStyle w:val="Corpotesto"/>
              <w:ind w:right="45"/>
              <w:jc w:val="both"/>
              <w:rPr>
                <w:rFonts w:ascii="Arial" w:hAnsi="Arial" w:cs="Arial"/>
                <w:sz w:val="20"/>
                <w:szCs w:val="20"/>
              </w:rPr>
            </w:pPr>
            <w:r>
              <w:rPr>
                <w:rFonts w:ascii="Arial" w:hAnsi="Arial" w:cs="Arial"/>
                <w:sz w:val="20"/>
                <w:szCs w:val="20"/>
              </w:rPr>
              <w:t>Questo aspetto è particolarmente rilevante per la produzione di biomassa per energia come calore, elettricità o idrogeno</w:t>
            </w:r>
            <w:r w:rsidR="00BD7FFB">
              <w:rPr>
                <w:rFonts w:ascii="Arial" w:hAnsi="Arial" w:cs="Arial"/>
                <w:sz w:val="20"/>
                <w:szCs w:val="20"/>
              </w:rPr>
              <w:t xml:space="preserve">, in quanto mette in chiara evidenza che l’uso della biomassa deve essere </w:t>
            </w:r>
            <w:r w:rsidR="00B751F2">
              <w:rPr>
                <w:rFonts w:ascii="Arial" w:hAnsi="Arial" w:cs="Arial"/>
                <w:sz w:val="20"/>
                <w:szCs w:val="20"/>
              </w:rPr>
              <w:t xml:space="preserve">gestito in modo sostenibile senza compromettere il pozzo di carbonio da cui proviene. </w:t>
            </w:r>
            <w:r w:rsidRPr="00D851EA">
              <w:rPr>
                <w:rFonts w:ascii="Arial" w:hAnsi="Arial" w:cs="Arial"/>
                <w:sz w:val="20"/>
                <w:szCs w:val="20"/>
              </w:rPr>
              <w:t xml:space="preserve"> </w:t>
            </w:r>
          </w:p>
        </w:tc>
      </w:tr>
      <w:tr w:rsidR="00EB58EE" w14:paraId="2EF137C1" w14:textId="77777777" w:rsidTr="00917ADB">
        <w:tc>
          <w:tcPr>
            <w:tcW w:w="1668" w:type="dxa"/>
          </w:tcPr>
          <w:p w14:paraId="6F85DBC3" w14:textId="77777777" w:rsidR="00EB58EE" w:rsidRPr="00575F69" w:rsidRDefault="00EB58EE" w:rsidP="00746BCD">
            <w:pPr>
              <w:pStyle w:val="Corpotesto"/>
              <w:ind w:right="45"/>
              <w:jc w:val="both"/>
              <w:rPr>
                <w:rFonts w:ascii="Arial" w:hAnsi="Arial" w:cs="Arial"/>
                <w:sz w:val="20"/>
                <w:szCs w:val="20"/>
              </w:rPr>
            </w:pPr>
            <w:r>
              <w:rPr>
                <w:rFonts w:ascii="Arial" w:hAnsi="Arial" w:cs="Arial"/>
                <w:sz w:val="20"/>
                <w:szCs w:val="20"/>
              </w:rPr>
              <w:t>Allegato V, parte 3</w:t>
            </w:r>
          </w:p>
        </w:tc>
        <w:tc>
          <w:tcPr>
            <w:tcW w:w="8104" w:type="dxa"/>
            <w:gridSpan w:val="2"/>
          </w:tcPr>
          <w:p w14:paraId="03DC212C" w14:textId="12C1CF9C" w:rsidR="00EB58EE" w:rsidRPr="00D851EA" w:rsidRDefault="00EB58EE" w:rsidP="00746BCD">
            <w:pPr>
              <w:pStyle w:val="Corpotesto"/>
              <w:ind w:right="45"/>
              <w:jc w:val="both"/>
              <w:rPr>
                <w:rFonts w:ascii="Arial" w:hAnsi="Arial" w:cs="Arial"/>
                <w:sz w:val="20"/>
                <w:szCs w:val="20"/>
              </w:rPr>
            </w:pPr>
            <w:r w:rsidRPr="00AC3BC9">
              <w:rPr>
                <w:rFonts w:ascii="Arial" w:hAnsi="Arial" w:cs="Arial"/>
                <w:sz w:val="20"/>
                <w:szCs w:val="20"/>
              </w:rPr>
              <w:t>Gli Stati membri sono invitati ad applicare un metodo di livello 3, in conformità delle linee guida IPCC 2006 per gli inventari nazionali dei gas a effetto serra.</w:t>
            </w:r>
          </w:p>
        </w:tc>
      </w:tr>
    </w:tbl>
    <w:p w14:paraId="76F4BC5F" w14:textId="17FBB048" w:rsidR="0080286C" w:rsidRDefault="0080286C" w:rsidP="0080286C">
      <w:pPr>
        <w:pStyle w:val="Corpotesto"/>
        <w:ind w:right="45"/>
        <w:jc w:val="both"/>
        <w:rPr>
          <w:rFonts w:ascii="Arial" w:hAnsi="Arial" w:cs="Arial"/>
          <w:sz w:val="24"/>
          <w:szCs w:val="24"/>
        </w:rPr>
      </w:pPr>
    </w:p>
    <w:p w14:paraId="2DA67952" w14:textId="4545D7BD" w:rsidR="00896E8B" w:rsidRDefault="00A113A9" w:rsidP="00896E8B">
      <w:pPr>
        <w:pStyle w:val="Corpotesto"/>
        <w:ind w:right="45" w:firstLine="567"/>
        <w:jc w:val="both"/>
        <w:rPr>
          <w:rFonts w:ascii="Arial" w:hAnsi="Arial" w:cs="Arial"/>
          <w:sz w:val="24"/>
          <w:szCs w:val="24"/>
        </w:rPr>
      </w:pPr>
      <w:r>
        <w:rPr>
          <w:rFonts w:ascii="Arial" w:hAnsi="Arial" w:cs="Arial"/>
          <w:sz w:val="24"/>
          <w:szCs w:val="24"/>
        </w:rPr>
        <w:t xml:space="preserve">In sintesi, </w:t>
      </w:r>
      <w:r w:rsidR="00E6676D">
        <w:rPr>
          <w:rFonts w:ascii="Arial" w:hAnsi="Arial" w:cs="Arial"/>
          <w:sz w:val="24"/>
          <w:szCs w:val="24"/>
        </w:rPr>
        <w:t>alla luce del Regolamento 2018/1999</w:t>
      </w:r>
      <w:r w:rsidR="00C84BD6">
        <w:rPr>
          <w:rFonts w:ascii="Arial" w:hAnsi="Arial" w:cs="Arial"/>
          <w:sz w:val="24"/>
          <w:szCs w:val="24"/>
        </w:rPr>
        <w:t xml:space="preserve">, l’Inventario Nazionale dei Gas Serra </w:t>
      </w:r>
      <w:r w:rsidR="00C77D6F">
        <w:rPr>
          <w:rFonts w:ascii="Arial" w:hAnsi="Arial" w:cs="Arial"/>
          <w:sz w:val="24"/>
          <w:szCs w:val="24"/>
        </w:rPr>
        <w:t xml:space="preserve">che era oggetto del Regolamento 525/2013 </w:t>
      </w:r>
      <w:r w:rsidR="007468C6">
        <w:rPr>
          <w:rFonts w:ascii="Arial" w:hAnsi="Arial" w:cs="Arial"/>
          <w:sz w:val="24"/>
          <w:szCs w:val="24"/>
        </w:rPr>
        <w:t xml:space="preserve">volto a definire le quote di emissione per SM, </w:t>
      </w:r>
      <w:r w:rsidR="00C77D6F">
        <w:rPr>
          <w:rFonts w:ascii="Arial" w:hAnsi="Arial" w:cs="Arial"/>
          <w:sz w:val="24"/>
          <w:szCs w:val="24"/>
        </w:rPr>
        <w:t>viene</w:t>
      </w:r>
      <w:r w:rsidR="00F06BED">
        <w:rPr>
          <w:rFonts w:ascii="Arial" w:hAnsi="Arial" w:cs="Arial"/>
          <w:sz w:val="24"/>
          <w:szCs w:val="24"/>
        </w:rPr>
        <w:t xml:space="preserve"> ora sostituito dal PNIEC, che considera anche al suo interno anche gli assorbimenti netti del settore LULUCF per tipologia di pozzo</w:t>
      </w:r>
      <w:r w:rsidR="007468C6">
        <w:rPr>
          <w:rFonts w:ascii="Arial" w:hAnsi="Arial" w:cs="Arial"/>
          <w:sz w:val="24"/>
          <w:szCs w:val="24"/>
        </w:rPr>
        <w:t>. Un aspetto rilevante</w:t>
      </w:r>
      <w:r w:rsidR="008C25B5">
        <w:rPr>
          <w:rFonts w:ascii="Arial" w:hAnsi="Arial" w:cs="Arial"/>
          <w:sz w:val="24"/>
          <w:szCs w:val="24"/>
        </w:rPr>
        <w:t xml:space="preserve"> da considerare è ch</w:t>
      </w:r>
      <w:r w:rsidR="00EF461D">
        <w:rPr>
          <w:rFonts w:ascii="Arial" w:hAnsi="Arial" w:cs="Arial"/>
          <w:sz w:val="24"/>
          <w:szCs w:val="24"/>
        </w:rPr>
        <w:t>e nel quadro delle attività LULUCF sono considerat</w:t>
      </w:r>
      <w:r w:rsidR="00EB58EE">
        <w:rPr>
          <w:rFonts w:ascii="Arial" w:hAnsi="Arial" w:cs="Arial"/>
          <w:sz w:val="24"/>
          <w:szCs w:val="24"/>
        </w:rPr>
        <w:t>i anche i</w:t>
      </w:r>
      <w:r w:rsidR="0085636F">
        <w:rPr>
          <w:rFonts w:ascii="Arial" w:hAnsi="Arial" w:cs="Arial"/>
          <w:sz w:val="24"/>
          <w:szCs w:val="24"/>
        </w:rPr>
        <w:t>l</w:t>
      </w:r>
      <w:r w:rsidR="00EB58EE">
        <w:rPr>
          <w:rFonts w:ascii="Arial" w:hAnsi="Arial" w:cs="Arial"/>
          <w:sz w:val="24"/>
          <w:szCs w:val="24"/>
        </w:rPr>
        <w:t xml:space="preserve"> prelievo di legno per fini </w:t>
      </w:r>
      <w:r w:rsidR="00EB58EE">
        <w:rPr>
          <w:rFonts w:ascii="Arial" w:hAnsi="Arial" w:cs="Arial"/>
          <w:sz w:val="24"/>
          <w:szCs w:val="24"/>
        </w:rPr>
        <w:lastRenderedPageBreak/>
        <w:t>energetici</w:t>
      </w:r>
      <w:r w:rsidR="00E86575">
        <w:rPr>
          <w:rFonts w:ascii="Arial" w:hAnsi="Arial" w:cs="Arial"/>
          <w:sz w:val="24"/>
          <w:szCs w:val="24"/>
        </w:rPr>
        <w:t xml:space="preserve">, che devono essere contabilizzati tenendo conto dell’eventuale rischio di compromissione del pozzo di carbonio </w:t>
      </w:r>
      <w:r w:rsidR="00DE4974">
        <w:rPr>
          <w:rFonts w:ascii="Arial" w:hAnsi="Arial" w:cs="Arial"/>
          <w:sz w:val="24"/>
          <w:szCs w:val="24"/>
        </w:rPr>
        <w:t xml:space="preserve">da cui proviene, con evidente particolare riferimento al </w:t>
      </w:r>
      <w:r w:rsidR="0085636F">
        <w:rPr>
          <w:rFonts w:ascii="Arial" w:hAnsi="Arial" w:cs="Arial"/>
          <w:sz w:val="24"/>
          <w:szCs w:val="24"/>
        </w:rPr>
        <w:t xml:space="preserve">settore forestale. </w:t>
      </w:r>
    </w:p>
    <w:p w14:paraId="359903FE" w14:textId="46607E6F" w:rsidR="0085636F" w:rsidRDefault="0085636F" w:rsidP="00896E8B">
      <w:pPr>
        <w:pStyle w:val="Corpotesto"/>
        <w:ind w:right="45" w:firstLine="567"/>
        <w:jc w:val="both"/>
        <w:rPr>
          <w:rFonts w:ascii="Arial" w:hAnsi="Arial" w:cs="Arial"/>
          <w:sz w:val="24"/>
          <w:szCs w:val="24"/>
        </w:rPr>
      </w:pPr>
      <w:r>
        <w:rPr>
          <w:rFonts w:ascii="Arial" w:hAnsi="Arial" w:cs="Arial"/>
          <w:sz w:val="24"/>
          <w:szCs w:val="24"/>
        </w:rPr>
        <w:t xml:space="preserve">Questo esprime una preoccupazione </w:t>
      </w:r>
      <w:r w:rsidR="00AB0541">
        <w:rPr>
          <w:rFonts w:ascii="Arial" w:hAnsi="Arial" w:cs="Arial"/>
          <w:sz w:val="24"/>
          <w:szCs w:val="24"/>
        </w:rPr>
        <w:t xml:space="preserve">precisa </w:t>
      </w:r>
      <w:r w:rsidR="009D244B">
        <w:rPr>
          <w:rFonts w:ascii="Arial" w:hAnsi="Arial" w:cs="Arial"/>
          <w:sz w:val="24"/>
          <w:szCs w:val="24"/>
        </w:rPr>
        <w:t xml:space="preserve">da parte delle autorità europee e nazionali </w:t>
      </w:r>
      <w:r w:rsidR="00F539F6">
        <w:rPr>
          <w:rFonts w:ascii="Arial" w:hAnsi="Arial" w:cs="Arial"/>
          <w:sz w:val="24"/>
          <w:szCs w:val="24"/>
        </w:rPr>
        <w:t xml:space="preserve">che </w:t>
      </w:r>
      <w:r w:rsidR="00620BFA">
        <w:rPr>
          <w:rFonts w:ascii="Arial" w:hAnsi="Arial" w:cs="Arial"/>
          <w:sz w:val="24"/>
          <w:szCs w:val="24"/>
        </w:rPr>
        <w:t xml:space="preserve">il settore LULUCF </w:t>
      </w:r>
      <w:r w:rsidR="00E50B94">
        <w:rPr>
          <w:rFonts w:ascii="Arial" w:hAnsi="Arial" w:cs="Arial"/>
          <w:sz w:val="24"/>
          <w:szCs w:val="24"/>
        </w:rPr>
        <w:t xml:space="preserve">sia correttamente gestito con procedure di verifica credibili e verificabili. </w:t>
      </w:r>
    </w:p>
    <w:p w14:paraId="0F3233A5" w14:textId="13F40B0C" w:rsidR="00145474" w:rsidRDefault="00145474" w:rsidP="006332E1">
      <w:pPr>
        <w:pStyle w:val="Corpotesto"/>
        <w:ind w:right="45"/>
        <w:jc w:val="both"/>
        <w:rPr>
          <w:rFonts w:ascii="Arial" w:hAnsi="Arial" w:cs="Arial"/>
          <w:sz w:val="24"/>
          <w:szCs w:val="24"/>
        </w:rPr>
      </w:pPr>
    </w:p>
    <w:p w14:paraId="7448147C" w14:textId="48A00AB6" w:rsidR="00556FC1" w:rsidRDefault="00556FC1" w:rsidP="000A2FFD">
      <w:pPr>
        <w:pStyle w:val="Titolo1"/>
      </w:pPr>
      <w:bookmarkStart w:id="13" w:name="_Toc74265402"/>
      <w:r>
        <w:t xml:space="preserve">La </w:t>
      </w:r>
      <w:r w:rsidR="00F42F97">
        <w:t xml:space="preserve">nuova </w:t>
      </w:r>
      <w:r>
        <w:t>Strategia Forestale</w:t>
      </w:r>
      <w:r w:rsidR="00B03948">
        <w:t xml:space="preserve"> </w:t>
      </w:r>
      <w:r w:rsidR="00145474">
        <w:t>e sui servizi</w:t>
      </w:r>
      <w:r w:rsidR="00F42F97">
        <w:t xml:space="preserve"> </w:t>
      </w:r>
      <w:r w:rsidR="00B03948">
        <w:t>ecosistemici della UE</w:t>
      </w:r>
      <w:bookmarkEnd w:id="13"/>
    </w:p>
    <w:p w14:paraId="1F76595D" w14:textId="6F21F324" w:rsidR="00B03948" w:rsidRDefault="00B03948" w:rsidP="006332E1">
      <w:pPr>
        <w:pStyle w:val="Corpotesto"/>
        <w:ind w:right="45"/>
        <w:jc w:val="both"/>
        <w:rPr>
          <w:rFonts w:ascii="Arial" w:hAnsi="Arial" w:cs="Arial"/>
          <w:sz w:val="24"/>
          <w:szCs w:val="24"/>
        </w:rPr>
      </w:pPr>
    </w:p>
    <w:p w14:paraId="0479ABAF" w14:textId="58367F6A" w:rsidR="00E50B94" w:rsidRPr="00FB0F07" w:rsidRDefault="00FB02AC" w:rsidP="00BB115F">
      <w:pPr>
        <w:pStyle w:val="Corpotesto"/>
        <w:ind w:right="45" w:firstLine="567"/>
        <w:jc w:val="both"/>
        <w:rPr>
          <w:rFonts w:ascii="Arial" w:hAnsi="Arial" w:cs="Arial"/>
          <w:sz w:val="24"/>
          <w:szCs w:val="24"/>
        </w:rPr>
      </w:pPr>
      <w:r w:rsidRPr="00FB0F07">
        <w:rPr>
          <w:rFonts w:ascii="Arial" w:hAnsi="Arial" w:cs="Arial"/>
          <w:sz w:val="24"/>
          <w:szCs w:val="24"/>
        </w:rPr>
        <w:t>Anche se non è ancora stata</w:t>
      </w:r>
      <w:r w:rsidR="00E32815" w:rsidRPr="00FB0F07">
        <w:rPr>
          <w:rFonts w:ascii="Arial" w:hAnsi="Arial" w:cs="Arial"/>
          <w:sz w:val="24"/>
          <w:szCs w:val="24"/>
        </w:rPr>
        <w:t xml:space="preserve"> rilasciata, non si può trascurare la nuova strategia </w:t>
      </w:r>
      <w:r w:rsidR="005428A0" w:rsidRPr="00FB0F07">
        <w:rPr>
          <w:rFonts w:ascii="Arial" w:hAnsi="Arial" w:cs="Arial"/>
          <w:sz w:val="24"/>
          <w:szCs w:val="24"/>
        </w:rPr>
        <w:t>forestale dell’Unione Europea</w:t>
      </w:r>
      <w:r w:rsidR="00BB115F" w:rsidRPr="00FB0F07">
        <w:rPr>
          <w:rFonts w:ascii="Arial" w:hAnsi="Arial" w:cs="Arial"/>
          <w:sz w:val="24"/>
          <w:szCs w:val="24"/>
        </w:rPr>
        <w:t xml:space="preserve"> in quanto avrà senza dubbio influenza sulle attività progettuali</w:t>
      </w:r>
      <w:r w:rsidR="005428A0" w:rsidRPr="00FB0F07">
        <w:rPr>
          <w:rFonts w:ascii="Arial" w:hAnsi="Arial" w:cs="Arial"/>
          <w:sz w:val="24"/>
          <w:szCs w:val="24"/>
        </w:rPr>
        <w:t xml:space="preserve">. </w:t>
      </w:r>
      <w:r w:rsidR="008755D0" w:rsidRPr="00FB0F07">
        <w:rPr>
          <w:rFonts w:ascii="Arial" w:hAnsi="Arial" w:cs="Arial"/>
          <w:sz w:val="24"/>
          <w:szCs w:val="24"/>
        </w:rPr>
        <w:t>Attualmente è in corso una roadmap</w:t>
      </w:r>
      <w:r w:rsidR="00DF70F6" w:rsidRPr="00FB0F07">
        <w:rPr>
          <w:rFonts w:ascii="Arial" w:hAnsi="Arial" w:cs="Arial"/>
          <w:sz w:val="24"/>
          <w:szCs w:val="24"/>
        </w:rPr>
        <w:t xml:space="preserve"> per la sua definizione</w:t>
      </w:r>
      <w:r w:rsidR="005702ED" w:rsidRPr="00FB0F07">
        <w:rPr>
          <w:rFonts w:ascii="Arial" w:hAnsi="Arial" w:cs="Arial"/>
          <w:sz w:val="24"/>
          <w:szCs w:val="24"/>
        </w:rPr>
        <w:t xml:space="preserve"> che è in fase di avanzato sviluppo. All’inizio del 2021 è stata lanciata una consultazione pubblica </w:t>
      </w:r>
      <w:r w:rsidR="00241CE0" w:rsidRPr="00FB0F07">
        <w:rPr>
          <w:rFonts w:ascii="Arial" w:hAnsi="Arial" w:cs="Arial"/>
          <w:sz w:val="24"/>
          <w:szCs w:val="24"/>
        </w:rPr>
        <w:t xml:space="preserve">che si è chiusa nell’aprile 2021 e </w:t>
      </w:r>
      <w:r w:rsidR="00DC00DB" w:rsidRPr="00FB0F07">
        <w:rPr>
          <w:rFonts w:ascii="Arial" w:hAnsi="Arial" w:cs="Arial"/>
          <w:sz w:val="24"/>
          <w:szCs w:val="24"/>
        </w:rPr>
        <w:t xml:space="preserve">il </w:t>
      </w:r>
      <w:r w:rsidR="004A709D" w:rsidRPr="00FB0F07">
        <w:rPr>
          <w:rFonts w:ascii="Arial" w:hAnsi="Arial" w:cs="Arial"/>
          <w:sz w:val="24"/>
          <w:szCs w:val="24"/>
        </w:rPr>
        <w:t xml:space="preserve">Piano che verrà adottato è previsto nel quarto trimestre del 2021. </w:t>
      </w:r>
    </w:p>
    <w:p w14:paraId="424F2D6E" w14:textId="672FCBA5" w:rsidR="00E7148F" w:rsidRPr="00FB0F07" w:rsidRDefault="00661CE3" w:rsidP="008404B4">
      <w:pPr>
        <w:pStyle w:val="Corpotesto"/>
        <w:ind w:right="45" w:firstLine="567"/>
        <w:jc w:val="both"/>
        <w:rPr>
          <w:rFonts w:ascii="Arial" w:hAnsi="Arial" w:cs="Arial"/>
          <w:sz w:val="24"/>
          <w:szCs w:val="24"/>
        </w:rPr>
      </w:pPr>
      <w:r w:rsidRPr="00FB0F07">
        <w:rPr>
          <w:rFonts w:ascii="Arial" w:hAnsi="Arial" w:cs="Arial"/>
          <w:sz w:val="24"/>
          <w:szCs w:val="24"/>
        </w:rPr>
        <w:t>Attualmen</w:t>
      </w:r>
      <w:r w:rsidR="008404B4" w:rsidRPr="00FB0F07">
        <w:rPr>
          <w:rFonts w:ascii="Arial" w:hAnsi="Arial" w:cs="Arial"/>
          <w:sz w:val="24"/>
          <w:szCs w:val="24"/>
        </w:rPr>
        <w:t xml:space="preserve">te è in corso la </w:t>
      </w:r>
      <w:r w:rsidR="00195EE2" w:rsidRPr="00FB0F07">
        <w:rPr>
          <w:rFonts w:ascii="Arial" w:hAnsi="Arial" w:cs="Arial"/>
          <w:sz w:val="24"/>
          <w:szCs w:val="24"/>
        </w:rPr>
        <w:t>seconda Strategia forestale dell’UE</w:t>
      </w:r>
      <w:r w:rsidR="00195EE2" w:rsidRPr="00FB0F07">
        <w:rPr>
          <w:rFonts w:ascii="Arial" w:hAnsi="Arial" w:cs="Arial"/>
          <w:b/>
          <w:bCs/>
          <w:sz w:val="24"/>
          <w:szCs w:val="24"/>
        </w:rPr>
        <w:t xml:space="preserve"> </w:t>
      </w:r>
      <w:r w:rsidR="00195EE2" w:rsidRPr="00FB0F07">
        <w:rPr>
          <w:rFonts w:ascii="Arial" w:hAnsi="Arial" w:cs="Arial"/>
          <w:sz w:val="24"/>
          <w:szCs w:val="24"/>
        </w:rPr>
        <w:t xml:space="preserve">approvata nel 2013. </w:t>
      </w:r>
      <w:r w:rsidR="00E7148F" w:rsidRPr="00FB0F07">
        <w:rPr>
          <w:rFonts w:ascii="Arial" w:hAnsi="Arial" w:cs="Arial"/>
          <w:sz w:val="24"/>
          <w:szCs w:val="24"/>
        </w:rPr>
        <w:t xml:space="preserve">Non si </w:t>
      </w:r>
      <w:r w:rsidR="008B5493" w:rsidRPr="00FB0F07">
        <w:rPr>
          <w:rFonts w:ascii="Arial" w:hAnsi="Arial" w:cs="Arial"/>
          <w:sz w:val="24"/>
          <w:szCs w:val="24"/>
        </w:rPr>
        <w:t xml:space="preserve">vuole approfondire questo tema sia perché è in fase di revisione sia perché </w:t>
      </w:r>
      <w:r w:rsidR="004F29A1" w:rsidRPr="00FB0F07">
        <w:rPr>
          <w:rFonts w:ascii="Arial" w:hAnsi="Arial" w:cs="Arial"/>
          <w:sz w:val="24"/>
          <w:szCs w:val="24"/>
        </w:rPr>
        <w:t xml:space="preserve">è stata pienamente accolta dalla normativa nazionale, che verrà esposta nel prossimo capitolo. </w:t>
      </w:r>
    </w:p>
    <w:p w14:paraId="556FC53F" w14:textId="3DE4A7FB" w:rsidR="00DF073F" w:rsidRDefault="004F29A1" w:rsidP="009304E3">
      <w:pPr>
        <w:pStyle w:val="Corpotesto"/>
        <w:ind w:right="45" w:firstLine="567"/>
        <w:jc w:val="both"/>
        <w:rPr>
          <w:rFonts w:ascii="Arial" w:eastAsiaTheme="minorHAnsi" w:hAnsi="Arial" w:cs="Arial"/>
          <w:color w:val="000000"/>
          <w:sz w:val="24"/>
          <w:szCs w:val="24"/>
        </w:rPr>
      </w:pPr>
      <w:r w:rsidRPr="00FB0F07">
        <w:rPr>
          <w:rFonts w:ascii="Arial" w:hAnsi="Arial" w:cs="Arial"/>
          <w:sz w:val="24"/>
          <w:szCs w:val="24"/>
        </w:rPr>
        <w:t xml:space="preserve">Va comunque sottolineato che </w:t>
      </w:r>
      <w:r w:rsidR="009304E3" w:rsidRPr="00FB0F07">
        <w:rPr>
          <w:rFonts w:ascii="Arial" w:hAnsi="Arial" w:cs="Arial"/>
          <w:sz w:val="24"/>
          <w:szCs w:val="24"/>
        </w:rPr>
        <w:t>t</w:t>
      </w:r>
      <w:r w:rsidR="00195EE2" w:rsidRPr="00FB0F07">
        <w:rPr>
          <w:rFonts w:ascii="Arial" w:hAnsi="Arial" w:cs="Arial"/>
          <w:sz w:val="24"/>
          <w:szCs w:val="24"/>
        </w:rPr>
        <w:t>ale strumento è stato oggetto di revisione nel 2015 con il documento “Una nuova strategia forestale dell’Unione europea: per le foreste e il settore forestale” a cui ha fatto seguito nel 2018 la Comunicazione della Commissione “Una nuova Strategia forestale dell’UE: per le foreste e il settore forestale”.</w:t>
      </w:r>
      <w:r w:rsidR="0069181A" w:rsidRPr="00FB0F07">
        <w:rPr>
          <w:rFonts w:ascii="Arial" w:hAnsi="Arial" w:cs="Arial"/>
          <w:sz w:val="24"/>
          <w:szCs w:val="24"/>
        </w:rPr>
        <w:t xml:space="preserve"> In questa strategia si </w:t>
      </w:r>
      <w:r w:rsidR="009304E3" w:rsidRPr="00FB0F07">
        <w:rPr>
          <w:rFonts w:ascii="Arial" w:hAnsi="Arial" w:cs="Arial"/>
          <w:sz w:val="24"/>
          <w:szCs w:val="24"/>
        </w:rPr>
        <w:t>enunciano tre principi</w:t>
      </w:r>
      <w:r w:rsidR="00DF073F" w:rsidRPr="00DF073F">
        <w:rPr>
          <w:rFonts w:ascii="Arial" w:eastAsiaTheme="minorHAnsi" w:hAnsi="Arial" w:cs="Arial"/>
          <w:b/>
          <w:bCs/>
          <w:color w:val="000000"/>
          <w:sz w:val="24"/>
          <w:szCs w:val="24"/>
        </w:rPr>
        <w:t xml:space="preserve">-guida </w:t>
      </w:r>
      <w:r w:rsidR="00DF073F" w:rsidRPr="00DF073F">
        <w:rPr>
          <w:rFonts w:ascii="Arial" w:eastAsiaTheme="minorHAnsi" w:hAnsi="Arial" w:cs="Arial"/>
          <w:color w:val="000000"/>
          <w:sz w:val="24"/>
          <w:szCs w:val="24"/>
        </w:rPr>
        <w:t>che rappresentano un riferimento d’obbligo per la definizione delle strategie forestali nazionali dei paesi membri</w:t>
      </w:r>
      <w:r w:rsidR="009304E3" w:rsidRPr="00FB0F07">
        <w:rPr>
          <w:rFonts w:ascii="Arial" w:eastAsiaTheme="minorHAnsi" w:hAnsi="Arial" w:cs="Arial"/>
          <w:color w:val="000000"/>
          <w:sz w:val="24"/>
          <w:szCs w:val="24"/>
        </w:rPr>
        <w:t xml:space="preserve">. </w:t>
      </w:r>
      <w:r w:rsidR="006F3304" w:rsidRPr="00FB0F07">
        <w:rPr>
          <w:rFonts w:ascii="Arial" w:eastAsiaTheme="minorHAnsi" w:hAnsi="Arial" w:cs="Arial"/>
          <w:color w:val="000000"/>
          <w:sz w:val="24"/>
          <w:szCs w:val="24"/>
        </w:rPr>
        <w:t>Si citano i primi due in quanto rilevanti per il progetto LIFE CO2PES&amp;PEF:</w:t>
      </w:r>
      <w:r w:rsidR="00DF073F" w:rsidRPr="00DF073F">
        <w:rPr>
          <w:rFonts w:ascii="Arial" w:eastAsiaTheme="minorHAnsi" w:hAnsi="Arial" w:cs="Arial"/>
          <w:color w:val="000000"/>
          <w:sz w:val="24"/>
          <w:szCs w:val="24"/>
        </w:rPr>
        <w:t xml:space="preserve"> </w:t>
      </w:r>
    </w:p>
    <w:p w14:paraId="080D0CE6" w14:textId="77777777" w:rsidR="00FB0F07" w:rsidRPr="00DF073F" w:rsidRDefault="00FB0F07" w:rsidP="009304E3">
      <w:pPr>
        <w:pStyle w:val="Corpotesto"/>
        <w:ind w:right="45" w:firstLine="567"/>
        <w:jc w:val="both"/>
        <w:rPr>
          <w:rFonts w:ascii="Arial" w:eastAsiaTheme="minorHAnsi" w:hAnsi="Arial" w:cs="Arial"/>
          <w:color w:val="000000"/>
          <w:sz w:val="24"/>
          <w:szCs w:val="24"/>
        </w:rPr>
      </w:pPr>
    </w:p>
    <w:p w14:paraId="3BEEDFFF" w14:textId="4751AE21" w:rsidR="00DF073F" w:rsidRPr="00FB0F07" w:rsidRDefault="00DF073F" w:rsidP="00076117">
      <w:pPr>
        <w:pStyle w:val="Paragrafoelenco"/>
        <w:widowControl/>
        <w:numPr>
          <w:ilvl w:val="0"/>
          <w:numId w:val="35"/>
        </w:numPr>
        <w:adjustRightInd w:val="0"/>
        <w:spacing w:after="113"/>
        <w:jc w:val="both"/>
        <w:rPr>
          <w:rFonts w:ascii="Arial" w:eastAsiaTheme="minorHAnsi" w:hAnsi="Arial" w:cs="Arial"/>
          <w:color w:val="000000"/>
          <w:sz w:val="24"/>
          <w:szCs w:val="24"/>
        </w:rPr>
      </w:pPr>
      <w:r w:rsidRPr="00FB0F07">
        <w:rPr>
          <w:rFonts w:ascii="Arial" w:eastAsiaTheme="minorHAnsi" w:hAnsi="Arial" w:cs="Arial"/>
          <w:b/>
          <w:bCs/>
          <w:color w:val="000000"/>
          <w:sz w:val="24"/>
          <w:szCs w:val="24"/>
        </w:rPr>
        <w:t>Gestione forestale sostenibile e ruolo multifunzionale delle foreste</w:t>
      </w:r>
      <w:r w:rsidRPr="00FB0F07">
        <w:rPr>
          <w:rFonts w:ascii="Arial" w:eastAsiaTheme="minorHAnsi" w:hAnsi="Arial" w:cs="Arial"/>
          <w:color w:val="000000"/>
          <w:sz w:val="24"/>
          <w:szCs w:val="24"/>
        </w:rPr>
        <w:t xml:space="preserve">, per offrire molteplici prodotti e servizi in maniera equilibrata e garantire la protezione delle foreste; </w:t>
      </w:r>
    </w:p>
    <w:p w14:paraId="561418DF" w14:textId="5E638FEF" w:rsidR="00DF073F" w:rsidRPr="00FB0F07" w:rsidRDefault="00DF073F" w:rsidP="00076117">
      <w:pPr>
        <w:pStyle w:val="Paragrafoelenco"/>
        <w:widowControl/>
        <w:numPr>
          <w:ilvl w:val="0"/>
          <w:numId w:val="35"/>
        </w:numPr>
        <w:adjustRightInd w:val="0"/>
        <w:jc w:val="both"/>
        <w:rPr>
          <w:rFonts w:ascii="Arial" w:eastAsiaTheme="minorHAnsi" w:hAnsi="Arial" w:cs="Arial"/>
          <w:color w:val="000000"/>
          <w:sz w:val="24"/>
          <w:szCs w:val="24"/>
        </w:rPr>
      </w:pPr>
      <w:r w:rsidRPr="00FB0F07">
        <w:rPr>
          <w:rFonts w:ascii="Arial" w:eastAsiaTheme="minorHAnsi" w:hAnsi="Arial" w:cs="Arial"/>
          <w:b/>
          <w:bCs/>
          <w:color w:val="000000"/>
          <w:sz w:val="24"/>
          <w:szCs w:val="24"/>
        </w:rPr>
        <w:t>Efficienza nell’impiego delle risorse</w:t>
      </w:r>
      <w:r w:rsidRPr="00FB0F07">
        <w:rPr>
          <w:rFonts w:ascii="Arial" w:eastAsiaTheme="minorHAnsi" w:hAnsi="Arial" w:cs="Arial"/>
          <w:color w:val="000000"/>
          <w:sz w:val="24"/>
          <w:szCs w:val="24"/>
        </w:rPr>
        <w:t xml:space="preserve">, con l’ottimizzazione del contributo delle foreste e del settore forestale allo sviluppo rurale, alla crescita e alla creazione di posti di lavoro; </w:t>
      </w:r>
    </w:p>
    <w:p w14:paraId="5A5722E5" w14:textId="2D53155C" w:rsidR="00DF073F" w:rsidRPr="00FB0F07" w:rsidRDefault="00DF073F" w:rsidP="006332E1">
      <w:pPr>
        <w:pStyle w:val="Corpotesto"/>
        <w:ind w:right="45"/>
        <w:jc w:val="both"/>
        <w:rPr>
          <w:rFonts w:ascii="Arial" w:hAnsi="Arial" w:cs="Arial"/>
          <w:sz w:val="24"/>
          <w:szCs w:val="24"/>
        </w:rPr>
      </w:pPr>
    </w:p>
    <w:p w14:paraId="21A774D7" w14:textId="3BC98AF5" w:rsidR="00B03948" w:rsidRPr="00FB0F07" w:rsidRDefault="00623A99" w:rsidP="00FB0F07">
      <w:pPr>
        <w:pStyle w:val="Corpotesto"/>
        <w:ind w:right="45" w:firstLine="567"/>
        <w:jc w:val="both"/>
        <w:rPr>
          <w:rFonts w:ascii="Arial" w:hAnsi="Arial" w:cs="Arial"/>
          <w:sz w:val="24"/>
          <w:szCs w:val="24"/>
        </w:rPr>
      </w:pPr>
      <w:r w:rsidRPr="00FB0F07">
        <w:rPr>
          <w:rFonts w:ascii="Arial" w:hAnsi="Arial" w:cs="Arial"/>
          <w:sz w:val="24"/>
          <w:szCs w:val="24"/>
        </w:rPr>
        <w:t xml:space="preserve">I </w:t>
      </w:r>
      <w:r w:rsidR="00FB0F07">
        <w:rPr>
          <w:rFonts w:ascii="Arial" w:hAnsi="Arial" w:cs="Arial"/>
          <w:sz w:val="24"/>
          <w:szCs w:val="24"/>
        </w:rPr>
        <w:t>tre</w:t>
      </w:r>
      <w:r w:rsidRPr="00FB0F07">
        <w:rPr>
          <w:rFonts w:ascii="Arial" w:hAnsi="Arial" w:cs="Arial"/>
          <w:sz w:val="24"/>
          <w:szCs w:val="24"/>
        </w:rPr>
        <w:t xml:space="preserve"> principi-guida della Strategia forestale dell’UE sono stati declinati in </w:t>
      </w:r>
      <w:proofErr w:type="gramStart"/>
      <w:r w:rsidRPr="00FB0F07">
        <w:rPr>
          <w:rFonts w:ascii="Arial" w:hAnsi="Arial" w:cs="Arial"/>
          <w:sz w:val="24"/>
          <w:szCs w:val="24"/>
        </w:rPr>
        <w:t>8</w:t>
      </w:r>
      <w:proofErr w:type="gramEnd"/>
      <w:r w:rsidRPr="00FB0F07">
        <w:rPr>
          <w:rFonts w:ascii="Arial" w:hAnsi="Arial" w:cs="Arial"/>
          <w:sz w:val="24"/>
          <w:szCs w:val="24"/>
        </w:rPr>
        <w:t xml:space="preserve"> Aree prioritarie di intervento </w:t>
      </w:r>
      <w:r w:rsidR="00FA071F" w:rsidRPr="00FB0F07">
        <w:rPr>
          <w:rFonts w:ascii="Arial" w:hAnsi="Arial" w:cs="Arial"/>
          <w:sz w:val="24"/>
          <w:szCs w:val="24"/>
        </w:rPr>
        <w:t xml:space="preserve">nelle quali la Gestione Forestale Sostenibile rappresenta il fattore pervasivo </w:t>
      </w:r>
      <w:r w:rsidR="00036F51" w:rsidRPr="00FB0F07">
        <w:rPr>
          <w:rFonts w:ascii="Arial" w:hAnsi="Arial" w:cs="Arial"/>
          <w:sz w:val="24"/>
          <w:szCs w:val="24"/>
        </w:rPr>
        <w:t xml:space="preserve">e presente in tutti gli aspetti. </w:t>
      </w:r>
    </w:p>
    <w:p w14:paraId="1D85AA1F" w14:textId="043662FB" w:rsidR="00623A99" w:rsidRPr="00FB0F07" w:rsidRDefault="000C23F0" w:rsidP="00FB0F07">
      <w:pPr>
        <w:pStyle w:val="Corpotesto"/>
        <w:ind w:right="45" w:firstLine="567"/>
        <w:jc w:val="both"/>
        <w:rPr>
          <w:rFonts w:ascii="Arial" w:hAnsi="Arial" w:cs="Arial"/>
          <w:sz w:val="24"/>
          <w:szCs w:val="24"/>
        </w:rPr>
      </w:pPr>
      <w:r w:rsidRPr="00FB0F07">
        <w:rPr>
          <w:rFonts w:ascii="Arial" w:hAnsi="Arial" w:cs="Arial"/>
          <w:sz w:val="24"/>
          <w:szCs w:val="24"/>
        </w:rPr>
        <w:t>Per mettere in luce il percorso che sta facendo la Commissione Europea verso il rilascio della nuova Strategia Forestale</w:t>
      </w:r>
      <w:r w:rsidR="00E43A06" w:rsidRPr="00FB0F07">
        <w:rPr>
          <w:rFonts w:ascii="Arial" w:hAnsi="Arial" w:cs="Arial"/>
          <w:sz w:val="24"/>
          <w:szCs w:val="24"/>
        </w:rPr>
        <w:t xml:space="preserve"> UE, è utile accennare brevemente alle due Comunicazioni seguenti</w:t>
      </w:r>
    </w:p>
    <w:p w14:paraId="64D7EE79" w14:textId="77777777" w:rsidR="00B6538A" w:rsidRPr="00B6538A" w:rsidRDefault="00B6538A" w:rsidP="00B6538A">
      <w:pPr>
        <w:widowControl/>
        <w:adjustRightInd w:val="0"/>
        <w:jc w:val="both"/>
        <w:rPr>
          <w:rFonts w:ascii="Arial" w:eastAsiaTheme="minorHAnsi" w:hAnsi="Arial" w:cs="Arial"/>
          <w:sz w:val="24"/>
          <w:szCs w:val="24"/>
        </w:rPr>
      </w:pPr>
    </w:p>
    <w:p w14:paraId="4AE49204" w14:textId="113D4A10" w:rsidR="00B6538A" w:rsidRPr="00FB0F07" w:rsidRDefault="00B6538A" w:rsidP="00076117">
      <w:pPr>
        <w:pStyle w:val="Paragrafoelenco"/>
        <w:widowControl/>
        <w:numPr>
          <w:ilvl w:val="0"/>
          <w:numId w:val="34"/>
        </w:numPr>
        <w:adjustRightInd w:val="0"/>
        <w:jc w:val="both"/>
        <w:rPr>
          <w:rFonts w:ascii="Arial" w:eastAsiaTheme="minorHAnsi" w:hAnsi="Arial" w:cs="Arial"/>
          <w:color w:val="000000"/>
          <w:sz w:val="24"/>
          <w:szCs w:val="24"/>
        </w:rPr>
      </w:pPr>
      <w:r w:rsidRPr="00FB0F07">
        <w:rPr>
          <w:rFonts w:ascii="Arial" w:eastAsiaTheme="minorHAnsi" w:hAnsi="Arial" w:cs="Arial"/>
          <w:color w:val="000000"/>
          <w:sz w:val="24"/>
          <w:szCs w:val="24"/>
        </w:rPr>
        <w:t xml:space="preserve">Comunicazione della Commissione, COM (2018) 811 del 7 dicembre 2018, “Progressi nell'attuazione della strategia forestale dell'Unione europea: Una nuova strategia forestale dell’Unione europea: per le foreste e il settore forestale”; </w:t>
      </w:r>
    </w:p>
    <w:p w14:paraId="3DC2792C" w14:textId="0DA0F601" w:rsidR="00B6538A" w:rsidRPr="00FB0F07" w:rsidRDefault="00B6538A" w:rsidP="00076117">
      <w:pPr>
        <w:pStyle w:val="Paragrafoelenco"/>
        <w:widowControl/>
        <w:numPr>
          <w:ilvl w:val="0"/>
          <w:numId w:val="34"/>
        </w:numPr>
        <w:adjustRightInd w:val="0"/>
        <w:jc w:val="both"/>
        <w:rPr>
          <w:rFonts w:ascii="Arial" w:eastAsiaTheme="minorHAnsi" w:hAnsi="Arial" w:cs="Arial"/>
          <w:color w:val="000000"/>
          <w:sz w:val="24"/>
          <w:szCs w:val="24"/>
        </w:rPr>
      </w:pPr>
      <w:r w:rsidRPr="00FB0F07">
        <w:rPr>
          <w:rFonts w:ascii="Arial" w:eastAsiaTheme="minorHAnsi" w:hAnsi="Arial" w:cs="Arial"/>
          <w:color w:val="000000"/>
          <w:sz w:val="24"/>
          <w:szCs w:val="24"/>
        </w:rPr>
        <w:t xml:space="preserve">Comunicazione della Commissione, COM (2019) 352 </w:t>
      </w:r>
      <w:proofErr w:type="spellStart"/>
      <w:r w:rsidRPr="00FB0F07">
        <w:rPr>
          <w:rFonts w:ascii="Arial" w:eastAsiaTheme="minorHAnsi" w:hAnsi="Arial" w:cs="Arial"/>
          <w:color w:val="000000"/>
          <w:sz w:val="24"/>
          <w:szCs w:val="24"/>
        </w:rPr>
        <w:t>final</w:t>
      </w:r>
      <w:proofErr w:type="spellEnd"/>
      <w:r w:rsidRPr="00FB0F07">
        <w:rPr>
          <w:rFonts w:ascii="Arial" w:eastAsiaTheme="minorHAnsi" w:hAnsi="Arial" w:cs="Arial"/>
          <w:color w:val="000000"/>
          <w:sz w:val="24"/>
          <w:szCs w:val="24"/>
        </w:rPr>
        <w:t xml:space="preserve"> del 23 luglio 2019, “Rafforzare l'azione dell'UE per la protezione e la ricostituzione delle foreste del mondo” </w:t>
      </w:r>
    </w:p>
    <w:p w14:paraId="50FA5155" w14:textId="357FE3FE" w:rsidR="00B13475" w:rsidRPr="00FB0F07" w:rsidRDefault="00B13475" w:rsidP="006332E1">
      <w:pPr>
        <w:pStyle w:val="Corpotesto"/>
        <w:ind w:right="45"/>
        <w:jc w:val="both"/>
        <w:rPr>
          <w:rFonts w:ascii="Arial" w:hAnsi="Arial" w:cs="Arial"/>
          <w:sz w:val="24"/>
          <w:szCs w:val="24"/>
        </w:rPr>
      </w:pPr>
    </w:p>
    <w:p w14:paraId="065A5295" w14:textId="63AC4189" w:rsidR="00B61916" w:rsidRPr="00FB0F07" w:rsidRDefault="00B61916" w:rsidP="00FB0F07">
      <w:pPr>
        <w:pStyle w:val="Corpotesto"/>
        <w:ind w:right="45" w:firstLine="567"/>
        <w:jc w:val="both"/>
        <w:rPr>
          <w:rFonts w:ascii="Arial" w:hAnsi="Arial" w:cs="Arial"/>
          <w:sz w:val="24"/>
          <w:szCs w:val="24"/>
        </w:rPr>
      </w:pPr>
      <w:r w:rsidRPr="00FB0F07">
        <w:rPr>
          <w:rFonts w:ascii="Arial" w:hAnsi="Arial" w:cs="Arial"/>
          <w:sz w:val="24"/>
          <w:szCs w:val="24"/>
        </w:rPr>
        <w:t xml:space="preserve">Nel primo documento si espongono </w:t>
      </w:r>
      <w:r w:rsidR="003F1085" w:rsidRPr="00FB0F07">
        <w:rPr>
          <w:rFonts w:ascii="Arial" w:hAnsi="Arial" w:cs="Arial"/>
          <w:sz w:val="24"/>
          <w:szCs w:val="24"/>
        </w:rPr>
        <w:t>le linee guida della nuova Strategia</w:t>
      </w:r>
      <w:r w:rsidR="004B7547" w:rsidRPr="00FB0F07">
        <w:rPr>
          <w:rFonts w:ascii="Arial" w:hAnsi="Arial" w:cs="Arial"/>
          <w:sz w:val="24"/>
          <w:szCs w:val="24"/>
        </w:rPr>
        <w:t xml:space="preserve">, che mettono al centro la GFS e i cambiamenti climatici. Nella seconda si mette in evidenza </w:t>
      </w:r>
      <w:r w:rsidR="004B7547" w:rsidRPr="00FB0F07">
        <w:rPr>
          <w:rFonts w:ascii="Arial" w:hAnsi="Arial" w:cs="Arial"/>
          <w:sz w:val="24"/>
          <w:szCs w:val="24"/>
        </w:rPr>
        <w:lastRenderedPageBreak/>
        <w:t>che l’impegno della Commissione non è solo verso le for</w:t>
      </w:r>
      <w:r w:rsidR="00FB0F07">
        <w:rPr>
          <w:rFonts w:ascii="Arial" w:hAnsi="Arial" w:cs="Arial"/>
          <w:sz w:val="24"/>
          <w:szCs w:val="24"/>
        </w:rPr>
        <w:t>e</w:t>
      </w:r>
      <w:r w:rsidR="004B7547" w:rsidRPr="00FB0F07">
        <w:rPr>
          <w:rFonts w:ascii="Arial" w:hAnsi="Arial" w:cs="Arial"/>
          <w:sz w:val="24"/>
          <w:szCs w:val="24"/>
        </w:rPr>
        <w:t xml:space="preserve">ste europee ma anche verso </w:t>
      </w:r>
      <w:r w:rsidR="0048670A" w:rsidRPr="00FB0F07">
        <w:rPr>
          <w:rFonts w:ascii="Arial" w:hAnsi="Arial" w:cs="Arial"/>
          <w:sz w:val="24"/>
          <w:szCs w:val="24"/>
        </w:rPr>
        <w:t xml:space="preserve">il resto del Mondo, mettendo in atto azioni specifiche contro la deforestazione e il </w:t>
      </w:r>
      <w:r w:rsidR="00FB0F07" w:rsidRPr="00FB0F07">
        <w:rPr>
          <w:rFonts w:ascii="Arial" w:hAnsi="Arial" w:cs="Arial"/>
          <w:sz w:val="24"/>
          <w:szCs w:val="24"/>
        </w:rPr>
        <w:t xml:space="preserve">degrado delle foreste. </w:t>
      </w:r>
    </w:p>
    <w:p w14:paraId="000A2D64" w14:textId="77777777" w:rsidR="00B6538A" w:rsidRDefault="00B6538A" w:rsidP="006332E1">
      <w:pPr>
        <w:pStyle w:val="Corpotesto"/>
        <w:ind w:right="45"/>
        <w:jc w:val="both"/>
        <w:rPr>
          <w:rFonts w:ascii="Arial" w:hAnsi="Arial" w:cs="Arial"/>
          <w:sz w:val="24"/>
          <w:szCs w:val="24"/>
        </w:rPr>
      </w:pPr>
    </w:p>
    <w:p w14:paraId="781B37C4" w14:textId="77777777" w:rsidR="00B13475" w:rsidRDefault="00B13475" w:rsidP="006332E1">
      <w:pPr>
        <w:pStyle w:val="Corpotesto"/>
        <w:ind w:right="45"/>
        <w:jc w:val="both"/>
        <w:rPr>
          <w:rFonts w:ascii="Arial" w:hAnsi="Arial" w:cs="Arial"/>
          <w:sz w:val="24"/>
          <w:szCs w:val="24"/>
        </w:rPr>
      </w:pPr>
    </w:p>
    <w:p w14:paraId="459E8AFF" w14:textId="34337248" w:rsidR="0006717F" w:rsidRDefault="0006717F" w:rsidP="0048127E">
      <w:pPr>
        <w:pStyle w:val="Titolo1"/>
        <w:jc w:val="both"/>
      </w:pPr>
      <w:bookmarkStart w:id="14" w:name="_Toc74265403"/>
      <w:r>
        <w:t>La normativa nazionale e regionale sulle foreste e i servizi ecosistemici</w:t>
      </w:r>
      <w:bookmarkEnd w:id="14"/>
    </w:p>
    <w:p w14:paraId="232D7F37" w14:textId="50057D0A" w:rsidR="0006717F" w:rsidRDefault="0006717F" w:rsidP="006332E1">
      <w:pPr>
        <w:pStyle w:val="Corpotesto"/>
        <w:ind w:right="45"/>
        <w:jc w:val="both"/>
        <w:rPr>
          <w:rFonts w:ascii="Arial" w:hAnsi="Arial" w:cs="Arial"/>
          <w:sz w:val="24"/>
          <w:szCs w:val="24"/>
        </w:rPr>
      </w:pPr>
    </w:p>
    <w:p w14:paraId="297E40B4" w14:textId="68C51EE0" w:rsidR="00D053B0" w:rsidRPr="00DF56A5" w:rsidRDefault="002400CC" w:rsidP="00BE3C18">
      <w:pPr>
        <w:pStyle w:val="Corpotesto"/>
        <w:ind w:right="45" w:firstLine="567"/>
        <w:jc w:val="both"/>
        <w:rPr>
          <w:rFonts w:ascii="Arial" w:hAnsi="Arial" w:cs="Arial"/>
          <w:sz w:val="24"/>
          <w:szCs w:val="24"/>
        </w:rPr>
      </w:pPr>
      <w:r w:rsidRPr="00DF56A5">
        <w:rPr>
          <w:rFonts w:ascii="Arial" w:hAnsi="Arial" w:cs="Arial"/>
          <w:sz w:val="24"/>
          <w:szCs w:val="24"/>
        </w:rPr>
        <w:t>Nella normativa nazionale e regionale</w:t>
      </w:r>
      <w:r w:rsidR="00BE70E0" w:rsidRPr="00DF56A5">
        <w:rPr>
          <w:rFonts w:ascii="Arial" w:hAnsi="Arial" w:cs="Arial"/>
          <w:sz w:val="24"/>
          <w:szCs w:val="24"/>
        </w:rPr>
        <w:t xml:space="preserve"> il raccordo tra </w:t>
      </w:r>
      <w:r w:rsidR="000D3229">
        <w:rPr>
          <w:rFonts w:ascii="Arial" w:hAnsi="Arial" w:cs="Arial"/>
          <w:sz w:val="24"/>
          <w:szCs w:val="24"/>
        </w:rPr>
        <w:t xml:space="preserve">le </w:t>
      </w:r>
      <w:r w:rsidR="00BE70E0" w:rsidRPr="00DF56A5">
        <w:rPr>
          <w:rFonts w:ascii="Arial" w:hAnsi="Arial" w:cs="Arial"/>
          <w:sz w:val="24"/>
          <w:szCs w:val="24"/>
        </w:rPr>
        <w:t>funzioni eco</w:t>
      </w:r>
      <w:r w:rsidR="00772CC1" w:rsidRPr="00DF56A5">
        <w:rPr>
          <w:rFonts w:ascii="Arial" w:hAnsi="Arial" w:cs="Arial"/>
          <w:sz w:val="24"/>
          <w:szCs w:val="24"/>
        </w:rPr>
        <w:t>sistemiche</w:t>
      </w:r>
      <w:r w:rsidR="00FB649E" w:rsidRPr="00DF56A5">
        <w:rPr>
          <w:rFonts w:ascii="Arial" w:hAnsi="Arial" w:cs="Arial"/>
          <w:sz w:val="24"/>
          <w:szCs w:val="24"/>
        </w:rPr>
        <w:t xml:space="preserve"> </w:t>
      </w:r>
      <w:r w:rsidR="00984DA8" w:rsidRPr="00DF56A5">
        <w:rPr>
          <w:rFonts w:ascii="Arial" w:hAnsi="Arial" w:cs="Arial"/>
          <w:sz w:val="24"/>
          <w:szCs w:val="24"/>
        </w:rPr>
        <w:t>delle forest</w:t>
      </w:r>
      <w:r w:rsidR="00FE764A" w:rsidRPr="00DF56A5">
        <w:rPr>
          <w:rFonts w:ascii="Arial" w:hAnsi="Arial" w:cs="Arial"/>
          <w:sz w:val="24"/>
          <w:szCs w:val="24"/>
        </w:rPr>
        <w:t>e,</w:t>
      </w:r>
      <w:r w:rsidR="00772CC1" w:rsidRPr="00DF56A5">
        <w:rPr>
          <w:rFonts w:ascii="Arial" w:hAnsi="Arial" w:cs="Arial"/>
          <w:sz w:val="24"/>
          <w:szCs w:val="24"/>
        </w:rPr>
        <w:t xml:space="preserve"> </w:t>
      </w:r>
      <w:r w:rsidR="00FE764A" w:rsidRPr="00DF56A5">
        <w:rPr>
          <w:rFonts w:ascii="Arial" w:hAnsi="Arial" w:cs="Arial"/>
          <w:sz w:val="24"/>
          <w:szCs w:val="24"/>
        </w:rPr>
        <w:t>l</w:t>
      </w:r>
      <w:r w:rsidR="00772CC1" w:rsidRPr="00DF56A5">
        <w:rPr>
          <w:rFonts w:ascii="Arial" w:hAnsi="Arial" w:cs="Arial"/>
          <w:sz w:val="24"/>
          <w:szCs w:val="24"/>
        </w:rPr>
        <w:t>e attività di gestione forestale sostenibile</w:t>
      </w:r>
      <w:r w:rsidR="00FE764A" w:rsidRPr="00DF56A5">
        <w:rPr>
          <w:rFonts w:ascii="Arial" w:hAnsi="Arial" w:cs="Arial"/>
          <w:sz w:val="24"/>
          <w:szCs w:val="24"/>
        </w:rPr>
        <w:t xml:space="preserve"> e la normativa europea sul clima è stato </w:t>
      </w:r>
      <w:r w:rsidR="00FB649E" w:rsidRPr="00DF56A5">
        <w:rPr>
          <w:rFonts w:ascii="Arial" w:hAnsi="Arial" w:cs="Arial"/>
          <w:sz w:val="24"/>
          <w:szCs w:val="24"/>
        </w:rPr>
        <w:t>considerato relativamente di recente</w:t>
      </w:r>
      <w:r w:rsidR="00F522BF" w:rsidRPr="00DF56A5">
        <w:rPr>
          <w:rFonts w:ascii="Arial" w:hAnsi="Arial" w:cs="Arial"/>
          <w:sz w:val="24"/>
          <w:szCs w:val="24"/>
        </w:rPr>
        <w:t xml:space="preserve">. </w:t>
      </w:r>
      <w:r w:rsidR="0059670C" w:rsidRPr="00DF56A5">
        <w:rPr>
          <w:rFonts w:ascii="Arial" w:hAnsi="Arial" w:cs="Arial"/>
          <w:sz w:val="24"/>
          <w:szCs w:val="24"/>
        </w:rPr>
        <w:t>Tuttavia</w:t>
      </w:r>
      <w:r w:rsidR="00A500F4" w:rsidRPr="00DF56A5">
        <w:rPr>
          <w:rFonts w:ascii="Arial" w:hAnsi="Arial" w:cs="Arial"/>
          <w:sz w:val="24"/>
          <w:szCs w:val="24"/>
        </w:rPr>
        <w:t>, la normativa europea è stata recepita e</w:t>
      </w:r>
      <w:r w:rsidR="007C24EC" w:rsidRPr="00DF56A5">
        <w:rPr>
          <w:rFonts w:ascii="Arial" w:hAnsi="Arial" w:cs="Arial"/>
          <w:sz w:val="24"/>
          <w:szCs w:val="24"/>
        </w:rPr>
        <w:t xml:space="preserve"> sono stati fatti dei primi passi in avanti anche verso il pagamento dei servizi ecosistemici</w:t>
      </w:r>
      <w:r w:rsidR="006759BC" w:rsidRPr="00DF56A5">
        <w:rPr>
          <w:rFonts w:ascii="Arial" w:hAnsi="Arial" w:cs="Arial"/>
          <w:sz w:val="24"/>
          <w:szCs w:val="24"/>
        </w:rPr>
        <w:t xml:space="preserve">, sebbene ancora con scarsi risultati. </w:t>
      </w:r>
    </w:p>
    <w:p w14:paraId="673A7E67" w14:textId="7586B658" w:rsidR="00D053B0" w:rsidRPr="00DF56A5" w:rsidRDefault="00FD6272" w:rsidP="00BE3C18">
      <w:pPr>
        <w:pStyle w:val="Corpotesto"/>
        <w:ind w:right="45" w:firstLine="567"/>
        <w:jc w:val="both"/>
        <w:rPr>
          <w:rFonts w:ascii="Arial" w:hAnsi="Arial" w:cs="Arial"/>
          <w:sz w:val="24"/>
          <w:szCs w:val="24"/>
        </w:rPr>
      </w:pPr>
      <w:r w:rsidRPr="00DF56A5">
        <w:rPr>
          <w:rFonts w:ascii="Arial" w:hAnsi="Arial" w:cs="Arial"/>
          <w:sz w:val="24"/>
          <w:szCs w:val="24"/>
        </w:rPr>
        <w:t>L</w:t>
      </w:r>
      <w:r w:rsidR="0031565B" w:rsidRPr="00DF56A5">
        <w:rPr>
          <w:rFonts w:ascii="Arial" w:hAnsi="Arial" w:cs="Arial"/>
          <w:sz w:val="24"/>
          <w:szCs w:val="24"/>
        </w:rPr>
        <w:t>a</w:t>
      </w:r>
      <w:r w:rsidR="00381A53" w:rsidRPr="00DF56A5">
        <w:rPr>
          <w:rFonts w:ascii="Arial" w:hAnsi="Arial" w:cs="Arial"/>
          <w:sz w:val="24"/>
          <w:szCs w:val="24"/>
        </w:rPr>
        <w:t xml:space="preserve"> </w:t>
      </w:r>
      <w:r w:rsidR="0031565B" w:rsidRPr="00DF56A5">
        <w:rPr>
          <w:rFonts w:ascii="Arial" w:hAnsi="Arial" w:cs="Arial"/>
          <w:sz w:val="24"/>
          <w:szCs w:val="24"/>
        </w:rPr>
        <w:t>legge 221/2015</w:t>
      </w:r>
      <w:r w:rsidR="004F70BA" w:rsidRPr="00DF56A5">
        <w:rPr>
          <w:rFonts w:ascii="Arial" w:hAnsi="Arial" w:cs="Arial"/>
          <w:sz w:val="24"/>
          <w:szCs w:val="24"/>
        </w:rPr>
        <w:t xml:space="preserve"> </w:t>
      </w:r>
      <w:r w:rsidR="004F70BA" w:rsidRPr="00DF56A5">
        <w:rPr>
          <w:rFonts w:ascii="Arial" w:hAnsi="Arial" w:cs="Arial"/>
          <w:i/>
          <w:iCs/>
          <w:sz w:val="24"/>
          <w:szCs w:val="24"/>
        </w:rPr>
        <w:t>Disposizioni in materia ambientale per promuovere misure di green economy e per il contenimento dell'uso eccessivo di risorse naturali</w:t>
      </w:r>
      <w:r w:rsidR="009373A8" w:rsidRPr="00DF56A5">
        <w:rPr>
          <w:rFonts w:ascii="Arial" w:hAnsi="Arial" w:cs="Arial"/>
          <w:sz w:val="24"/>
          <w:szCs w:val="24"/>
        </w:rPr>
        <w:t xml:space="preserve"> detto anche </w:t>
      </w:r>
      <w:r w:rsidR="009373A8" w:rsidRPr="00DF56A5">
        <w:rPr>
          <w:rFonts w:ascii="Arial" w:hAnsi="Arial" w:cs="Arial"/>
          <w:i/>
          <w:iCs/>
          <w:sz w:val="24"/>
          <w:szCs w:val="24"/>
        </w:rPr>
        <w:t>Collegato Ambientale</w:t>
      </w:r>
      <w:r w:rsidR="009373A8" w:rsidRPr="00DF56A5">
        <w:rPr>
          <w:rFonts w:ascii="Arial" w:hAnsi="Arial" w:cs="Arial"/>
          <w:sz w:val="24"/>
          <w:szCs w:val="24"/>
        </w:rPr>
        <w:t xml:space="preserve">, </w:t>
      </w:r>
      <w:r w:rsidR="004C7868" w:rsidRPr="00DF56A5">
        <w:rPr>
          <w:rFonts w:ascii="Arial" w:hAnsi="Arial" w:cs="Arial"/>
          <w:sz w:val="24"/>
          <w:szCs w:val="24"/>
        </w:rPr>
        <w:t>all’art. 70</w:t>
      </w:r>
      <w:r w:rsidR="00462604" w:rsidRPr="00DF56A5">
        <w:rPr>
          <w:rFonts w:ascii="Arial" w:hAnsi="Arial" w:cs="Arial"/>
          <w:sz w:val="24"/>
          <w:szCs w:val="24"/>
        </w:rPr>
        <w:t xml:space="preserve"> dichiara di</w:t>
      </w:r>
      <w:r w:rsidR="004C7868" w:rsidRPr="00DF56A5">
        <w:rPr>
          <w:rFonts w:ascii="Arial" w:hAnsi="Arial" w:cs="Arial"/>
          <w:sz w:val="24"/>
          <w:szCs w:val="24"/>
        </w:rPr>
        <w:t xml:space="preserve"> </w:t>
      </w:r>
      <w:r w:rsidR="008B1857" w:rsidRPr="00DF56A5">
        <w:rPr>
          <w:rFonts w:ascii="Arial" w:hAnsi="Arial" w:cs="Arial"/>
          <w:sz w:val="24"/>
          <w:szCs w:val="24"/>
        </w:rPr>
        <w:t>“</w:t>
      </w:r>
      <w:r w:rsidR="00142C0D" w:rsidRPr="00DF56A5">
        <w:rPr>
          <w:rFonts w:ascii="Arial" w:hAnsi="Arial" w:cs="Arial"/>
          <w:sz w:val="24"/>
          <w:szCs w:val="24"/>
        </w:rPr>
        <w:t>conferi</w:t>
      </w:r>
      <w:r w:rsidR="00462604" w:rsidRPr="00DF56A5">
        <w:rPr>
          <w:rFonts w:ascii="Arial" w:hAnsi="Arial" w:cs="Arial"/>
          <w:sz w:val="24"/>
          <w:szCs w:val="24"/>
        </w:rPr>
        <w:t>r</w:t>
      </w:r>
      <w:r w:rsidR="00142C0D" w:rsidRPr="00DF56A5">
        <w:rPr>
          <w:rFonts w:ascii="Arial" w:hAnsi="Arial" w:cs="Arial"/>
          <w:sz w:val="24"/>
          <w:szCs w:val="24"/>
        </w:rPr>
        <w:t>e delega al Governo per l'introduzione di sistemi di remunerazione dei servizi ecosistemici e ambientali</w:t>
      </w:r>
      <w:r w:rsidR="008B1857" w:rsidRPr="00DF56A5">
        <w:rPr>
          <w:rFonts w:ascii="Arial" w:hAnsi="Arial" w:cs="Arial"/>
          <w:sz w:val="24"/>
          <w:szCs w:val="24"/>
        </w:rPr>
        <w:t xml:space="preserve">”. </w:t>
      </w:r>
      <w:r w:rsidR="00D23654" w:rsidRPr="00DF56A5">
        <w:rPr>
          <w:rFonts w:ascii="Arial" w:hAnsi="Arial" w:cs="Arial"/>
          <w:sz w:val="24"/>
          <w:szCs w:val="24"/>
        </w:rPr>
        <w:t>I crediti di sostenibilità possono essere annoverati tra queste</w:t>
      </w:r>
      <w:r w:rsidR="005A2765" w:rsidRPr="00DF56A5">
        <w:rPr>
          <w:rFonts w:ascii="Arial" w:hAnsi="Arial" w:cs="Arial"/>
          <w:sz w:val="24"/>
          <w:szCs w:val="24"/>
        </w:rPr>
        <w:t xml:space="preserve"> forme di pagamento</w:t>
      </w:r>
      <w:r w:rsidR="00283A7E" w:rsidRPr="00DF56A5">
        <w:rPr>
          <w:rFonts w:ascii="Arial" w:hAnsi="Arial" w:cs="Arial"/>
          <w:sz w:val="24"/>
          <w:szCs w:val="24"/>
        </w:rPr>
        <w:t>, sebbene, come già detto, questa delega non si è concretizzata in un</w:t>
      </w:r>
      <w:r w:rsidR="000D29BB" w:rsidRPr="00DF56A5">
        <w:rPr>
          <w:rFonts w:ascii="Arial" w:hAnsi="Arial" w:cs="Arial"/>
          <w:sz w:val="24"/>
          <w:szCs w:val="24"/>
        </w:rPr>
        <w:t xml:space="preserve"> set di</w:t>
      </w:r>
      <w:r w:rsidR="00283A7E" w:rsidRPr="00DF56A5">
        <w:rPr>
          <w:rFonts w:ascii="Arial" w:hAnsi="Arial" w:cs="Arial"/>
          <w:sz w:val="24"/>
          <w:szCs w:val="24"/>
        </w:rPr>
        <w:t xml:space="preserve"> norm</w:t>
      </w:r>
      <w:r w:rsidR="000D29BB" w:rsidRPr="00DF56A5">
        <w:rPr>
          <w:rFonts w:ascii="Arial" w:hAnsi="Arial" w:cs="Arial"/>
          <w:sz w:val="24"/>
          <w:szCs w:val="24"/>
        </w:rPr>
        <w:t>e attuative</w:t>
      </w:r>
      <w:r w:rsidR="00283A7E" w:rsidRPr="00DF56A5">
        <w:rPr>
          <w:rFonts w:ascii="Arial" w:hAnsi="Arial" w:cs="Arial"/>
          <w:sz w:val="24"/>
          <w:szCs w:val="24"/>
        </w:rPr>
        <w:t xml:space="preserve">. </w:t>
      </w:r>
    </w:p>
    <w:p w14:paraId="12B812CA" w14:textId="77777777" w:rsidR="00BC03ED" w:rsidRDefault="00BC03ED" w:rsidP="00283A7E">
      <w:pPr>
        <w:pStyle w:val="Corpotesto"/>
        <w:ind w:right="45" w:firstLine="567"/>
        <w:jc w:val="both"/>
        <w:rPr>
          <w:rFonts w:ascii="Arial" w:hAnsi="Arial" w:cs="Arial"/>
          <w:sz w:val="24"/>
          <w:szCs w:val="24"/>
        </w:rPr>
      </w:pPr>
    </w:p>
    <w:p w14:paraId="606A0398" w14:textId="7FAAA84E" w:rsidR="00BC03ED" w:rsidRDefault="00BC03ED" w:rsidP="00283A7E">
      <w:pPr>
        <w:pStyle w:val="Corpotesto"/>
        <w:ind w:right="45" w:firstLine="567"/>
        <w:jc w:val="both"/>
        <w:rPr>
          <w:rFonts w:ascii="Arial" w:hAnsi="Arial" w:cs="Arial"/>
          <w:sz w:val="24"/>
          <w:szCs w:val="24"/>
        </w:rPr>
      </w:pPr>
    </w:p>
    <w:p w14:paraId="5107AAC0" w14:textId="6184DBEE" w:rsidR="00BC03ED" w:rsidRDefault="00BC03ED" w:rsidP="00E82A6A">
      <w:pPr>
        <w:pStyle w:val="Titolo2"/>
      </w:pPr>
      <w:bookmarkStart w:id="15" w:name="_Toc74265404"/>
      <w:r>
        <w:t>Il Testo Unico sulle Foreste e le Filiere Forestali (</w:t>
      </w:r>
      <w:r w:rsidR="00E82A6A">
        <w:t>D.L. 34/2018)</w:t>
      </w:r>
      <w:bookmarkEnd w:id="15"/>
    </w:p>
    <w:p w14:paraId="7548A9E5" w14:textId="77777777" w:rsidR="00BC03ED" w:rsidRDefault="00BC03ED" w:rsidP="00283A7E">
      <w:pPr>
        <w:pStyle w:val="Corpotesto"/>
        <w:ind w:right="45" w:firstLine="567"/>
        <w:jc w:val="both"/>
        <w:rPr>
          <w:rFonts w:ascii="Arial" w:hAnsi="Arial" w:cs="Arial"/>
          <w:sz w:val="24"/>
          <w:szCs w:val="24"/>
        </w:rPr>
      </w:pPr>
    </w:p>
    <w:p w14:paraId="6D90164F" w14:textId="40328C6C" w:rsidR="00516BB7" w:rsidRPr="00DF56A5" w:rsidRDefault="00F82415" w:rsidP="00283A7E">
      <w:pPr>
        <w:pStyle w:val="Corpotesto"/>
        <w:ind w:right="45" w:firstLine="567"/>
        <w:jc w:val="both"/>
        <w:rPr>
          <w:rFonts w:ascii="Arial" w:hAnsi="Arial" w:cs="Arial"/>
          <w:sz w:val="24"/>
          <w:szCs w:val="24"/>
        </w:rPr>
      </w:pPr>
      <w:r w:rsidRPr="00DF56A5">
        <w:rPr>
          <w:rFonts w:ascii="Arial" w:hAnsi="Arial" w:cs="Arial"/>
          <w:sz w:val="24"/>
          <w:szCs w:val="24"/>
        </w:rPr>
        <w:t xml:space="preserve">La norma nazionale più rilevante </w:t>
      </w:r>
      <w:r w:rsidR="00436E92" w:rsidRPr="00DF56A5">
        <w:rPr>
          <w:rFonts w:ascii="Arial" w:hAnsi="Arial" w:cs="Arial"/>
          <w:sz w:val="24"/>
          <w:szCs w:val="24"/>
        </w:rPr>
        <w:t xml:space="preserve">a tal riguardo è il </w:t>
      </w:r>
      <w:r w:rsidR="009B0ABF" w:rsidRPr="00DF56A5">
        <w:rPr>
          <w:rFonts w:ascii="Arial" w:hAnsi="Arial" w:cs="Arial"/>
          <w:sz w:val="24"/>
          <w:szCs w:val="24"/>
        </w:rPr>
        <w:t>D.L. n. 34 del 3 aprile 2018</w:t>
      </w:r>
      <w:r w:rsidR="0015733F" w:rsidRPr="00DF56A5">
        <w:rPr>
          <w:rFonts w:ascii="Arial" w:hAnsi="Arial" w:cs="Arial"/>
          <w:sz w:val="24"/>
          <w:szCs w:val="24"/>
        </w:rPr>
        <w:t xml:space="preserve"> “</w:t>
      </w:r>
      <w:r w:rsidR="0015733F" w:rsidRPr="00DF56A5">
        <w:rPr>
          <w:rFonts w:ascii="Arial" w:eastAsiaTheme="minorHAnsi" w:hAnsi="Arial" w:cs="Arial"/>
          <w:sz w:val="24"/>
          <w:szCs w:val="24"/>
        </w:rPr>
        <w:t>Testo unico in materia di foreste e filiere forestali”</w:t>
      </w:r>
      <w:r w:rsidR="00BE3C18" w:rsidRPr="00DF56A5">
        <w:rPr>
          <w:rFonts w:ascii="Arial" w:eastAsiaTheme="minorHAnsi" w:hAnsi="Arial" w:cs="Arial"/>
          <w:sz w:val="24"/>
          <w:szCs w:val="24"/>
        </w:rPr>
        <w:t xml:space="preserve">, spesso abbreviato in TUFF. </w:t>
      </w:r>
      <w:r w:rsidR="00F07BBC">
        <w:rPr>
          <w:rFonts w:ascii="Arial" w:hAnsi="Arial" w:cs="Arial"/>
          <w:sz w:val="24"/>
          <w:szCs w:val="24"/>
        </w:rPr>
        <w:t>Il</w:t>
      </w:r>
      <w:r w:rsidR="00516BB7" w:rsidRPr="00DF56A5">
        <w:rPr>
          <w:rFonts w:ascii="Arial" w:hAnsi="Arial" w:cs="Arial"/>
          <w:sz w:val="24"/>
          <w:szCs w:val="24"/>
        </w:rPr>
        <w:t xml:space="preserve"> testo riconosce nei criteri internazionali della Gestione Forestale Sostenibile lo strumento operativo per garantire sicurezza, tutela, conservazione e sviluppo, e insiste nel promuovere una corretta e sostenibile gestione delle foreste quale strumento efficace a garantire le attuali necessità di tutela e governo del territorio, assetto idrogeologico e prevenzione antincendio, nonché per rispondere alle moderne esigenze economiche, produttive e occupazionali delle aree interne e di montagna e ai precisi obblighi internazionali ed europei assunti dal Governo italiano in materia di ambiente, bioeconomia,</w:t>
      </w:r>
      <w:r w:rsidR="008658EB" w:rsidRPr="00DF56A5">
        <w:rPr>
          <w:rFonts w:ascii="Arial" w:hAnsi="Arial" w:cs="Arial"/>
          <w:sz w:val="24"/>
          <w:szCs w:val="24"/>
        </w:rPr>
        <w:t xml:space="preserve"> </w:t>
      </w:r>
      <w:r w:rsidR="00516BB7" w:rsidRPr="00DF56A5">
        <w:rPr>
          <w:rFonts w:ascii="Arial" w:hAnsi="Arial" w:cs="Arial"/>
          <w:sz w:val="24"/>
          <w:szCs w:val="24"/>
        </w:rPr>
        <w:t>green economy</w:t>
      </w:r>
      <w:r w:rsidR="00031B12" w:rsidRPr="00DF56A5">
        <w:rPr>
          <w:rFonts w:ascii="Arial" w:hAnsi="Arial" w:cs="Arial"/>
          <w:sz w:val="24"/>
          <w:szCs w:val="24"/>
        </w:rPr>
        <w:t xml:space="preserve"> </w:t>
      </w:r>
      <w:r w:rsidR="00516BB7" w:rsidRPr="00DF56A5">
        <w:rPr>
          <w:rFonts w:ascii="Arial" w:hAnsi="Arial" w:cs="Arial"/>
          <w:sz w:val="24"/>
          <w:szCs w:val="24"/>
        </w:rPr>
        <w:t>e in particolare di lotta al cambiamento climatico</w:t>
      </w:r>
      <w:r w:rsidR="00031B12" w:rsidRPr="00DF56A5">
        <w:rPr>
          <w:rFonts w:ascii="Arial" w:hAnsi="Arial" w:cs="Arial"/>
          <w:sz w:val="24"/>
          <w:szCs w:val="24"/>
        </w:rPr>
        <w:t xml:space="preserve">. </w:t>
      </w:r>
    </w:p>
    <w:p w14:paraId="0A5C966E" w14:textId="224E6FCC" w:rsidR="001C7CF9" w:rsidRPr="00DF56A5" w:rsidRDefault="001C7CF9" w:rsidP="00283A7E">
      <w:pPr>
        <w:pStyle w:val="Corpotesto"/>
        <w:ind w:right="45" w:firstLine="567"/>
        <w:jc w:val="both"/>
        <w:rPr>
          <w:rFonts w:ascii="Arial" w:hAnsi="Arial" w:cs="Arial"/>
          <w:sz w:val="24"/>
          <w:szCs w:val="24"/>
        </w:rPr>
      </w:pPr>
      <w:r w:rsidRPr="00DF56A5">
        <w:rPr>
          <w:rFonts w:ascii="Arial" w:hAnsi="Arial" w:cs="Arial"/>
          <w:sz w:val="24"/>
          <w:szCs w:val="24"/>
        </w:rPr>
        <w:t>Nel TUFF</w:t>
      </w:r>
      <w:r w:rsidR="008E4214" w:rsidRPr="00DF56A5">
        <w:rPr>
          <w:rFonts w:ascii="Arial" w:hAnsi="Arial" w:cs="Arial"/>
          <w:sz w:val="24"/>
          <w:szCs w:val="24"/>
        </w:rPr>
        <w:t xml:space="preserve"> la gestione forestale sostenibile, anche finalizzata all’incremento dello stoccaggio di carbonio è </w:t>
      </w:r>
      <w:r w:rsidR="00EF3AA4" w:rsidRPr="00DF56A5">
        <w:rPr>
          <w:rFonts w:ascii="Arial" w:hAnsi="Arial" w:cs="Arial"/>
          <w:sz w:val="24"/>
          <w:szCs w:val="24"/>
        </w:rPr>
        <w:t>uno degli elementi centrali</w:t>
      </w:r>
      <w:r w:rsidR="00B54F8E" w:rsidRPr="00DF56A5">
        <w:rPr>
          <w:rFonts w:ascii="Arial" w:hAnsi="Arial" w:cs="Arial"/>
          <w:sz w:val="24"/>
          <w:szCs w:val="24"/>
        </w:rPr>
        <w:t xml:space="preserve">. Nelle finalità del DL </w:t>
      </w:r>
      <w:r w:rsidR="0020588F" w:rsidRPr="00DF56A5">
        <w:rPr>
          <w:rFonts w:ascii="Arial" w:hAnsi="Arial" w:cs="Arial"/>
          <w:sz w:val="24"/>
          <w:szCs w:val="24"/>
        </w:rPr>
        <w:t>esplicitate</w:t>
      </w:r>
      <w:r w:rsidR="00B54F8E" w:rsidRPr="00DF56A5">
        <w:rPr>
          <w:rFonts w:ascii="Arial" w:hAnsi="Arial" w:cs="Arial"/>
          <w:sz w:val="24"/>
          <w:szCs w:val="24"/>
        </w:rPr>
        <w:t xml:space="preserve"> nell’art. 2 si </w:t>
      </w:r>
      <w:r w:rsidR="0020588F" w:rsidRPr="00DF56A5">
        <w:rPr>
          <w:rFonts w:ascii="Arial" w:hAnsi="Arial" w:cs="Arial"/>
          <w:sz w:val="24"/>
          <w:szCs w:val="24"/>
        </w:rPr>
        <w:t>citano:</w:t>
      </w:r>
    </w:p>
    <w:p w14:paraId="71AC2702" w14:textId="77777777" w:rsidR="00516BB7" w:rsidRPr="00DF56A5" w:rsidRDefault="00516BB7" w:rsidP="006332E1">
      <w:pPr>
        <w:pStyle w:val="Corpotesto"/>
        <w:ind w:right="45"/>
        <w:jc w:val="both"/>
        <w:rPr>
          <w:rFonts w:ascii="Arial" w:hAnsi="Arial" w:cs="Arial"/>
          <w:sz w:val="24"/>
          <w:szCs w:val="24"/>
        </w:rPr>
      </w:pPr>
    </w:p>
    <w:p w14:paraId="278063F1" w14:textId="42031F6F" w:rsidR="00AE3918" w:rsidRPr="00DF56A5" w:rsidRDefault="00AE3918" w:rsidP="00076117">
      <w:pPr>
        <w:pStyle w:val="Paragrafoelenco"/>
        <w:widowControl/>
        <w:numPr>
          <w:ilvl w:val="0"/>
          <w:numId w:val="25"/>
        </w:numPr>
        <w:adjustRightInd w:val="0"/>
        <w:jc w:val="both"/>
        <w:rPr>
          <w:rFonts w:ascii="Arial" w:eastAsiaTheme="minorHAnsi" w:hAnsi="Arial" w:cs="Arial"/>
          <w:color w:val="000000"/>
          <w:sz w:val="24"/>
          <w:szCs w:val="24"/>
        </w:rPr>
      </w:pPr>
      <w:r w:rsidRPr="00DF56A5">
        <w:rPr>
          <w:rFonts w:ascii="Arial" w:eastAsiaTheme="minorHAnsi" w:hAnsi="Arial" w:cs="Arial"/>
          <w:i/>
          <w:iCs/>
          <w:color w:val="000000"/>
          <w:sz w:val="24"/>
          <w:szCs w:val="24"/>
        </w:rPr>
        <w:t xml:space="preserve">Promuovere la </w:t>
      </w:r>
      <w:r w:rsidRPr="00DF56A5">
        <w:rPr>
          <w:rFonts w:ascii="Arial" w:eastAsiaTheme="minorHAnsi" w:hAnsi="Arial" w:cs="Arial"/>
          <w:b/>
          <w:bCs/>
          <w:i/>
          <w:iCs/>
          <w:color w:val="000000"/>
          <w:sz w:val="24"/>
          <w:szCs w:val="24"/>
        </w:rPr>
        <w:t xml:space="preserve">gestione attiva e razionale </w:t>
      </w:r>
      <w:r w:rsidRPr="00DF56A5">
        <w:rPr>
          <w:rFonts w:ascii="Arial" w:eastAsiaTheme="minorHAnsi" w:hAnsi="Arial" w:cs="Arial"/>
          <w:i/>
          <w:iCs/>
          <w:color w:val="000000"/>
          <w:sz w:val="24"/>
          <w:szCs w:val="24"/>
        </w:rPr>
        <w:t xml:space="preserve">del patrimonio forestale nazionale al fine di garantire le funzioni ambientali, economiche e </w:t>
      </w:r>
      <w:proofErr w:type="gramStart"/>
      <w:r w:rsidRPr="00DF56A5">
        <w:rPr>
          <w:rFonts w:ascii="Arial" w:eastAsiaTheme="minorHAnsi" w:hAnsi="Arial" w:cs="Arial"/>
          <w:i/>
          <w:iCs/>
          <w:color w:val="000000"/>
          <w:sz w:val="24"/>
          <w:szCs w:val="24"/>
        </w:rPr>
        <w:t>socio-culturali</w:t>
      </w:r>
      <w:proofErr w:type="gramEnd"/>
      <w:r w:rsidR="009F1782" w:rsidRPr="00DF56A5">
        <w:rPr>
          <w:rFonts w:ascii="Arial" w:eastAsiaTheme="minorHAnsi" w:hAnsi="Arial" w:cs="Arial"/>
          <w:i/>
          <w:iCs/>
          <w:color w:val="000000"/>
          <w:sz w:val="24"/>
          <w:szCs w:val="24"/>
        </w:rPr>
        <w:t>;</w:t>
      </w:r>
    </w:p>
    <w:p w14:paraId="0386D751" w14:textId="1002662F" w:rsidR="00AE3918" w:rsidRPr="00DF56A5" w:rsidRDefault="00AE3918" w:rsidP="00076117">
      <w:pPr>
        <w:pStyle w:val="Paragrafoelenco"/>
        <w:widowControl/>
        <w:numPr>
          <w:ilvl w:val="0"/>
          <w:numId w:val="25"/>
        </w:numPr>
        <w:adjustRightInd w:val="0"/>
        <w:jc w:val="both"/>
        <w:rPr>
          <w:rFonts w:ascii="Arial" w:eastAsiaTheme="minorHAnsi" w:hAnsi="Arial" w:cs="Arial"/>
          <w:color w:val="000000"/>
          <w:sz w:val="24"/>
          <w:szCs w:val="24"/>
        </w:rPr>
      </w:pPr>
      <w:r w:rsidRPr="00DF56A5">
        <w:rPr>
          <w:rFonts w:ascii="Arial" w:eastAsiaTheme="minorHAnsi" w:hAnsi="Arial" w:cs="Arial"/>
          <w:i/>
          <w:iCs/>
          <w:color w:val="000000"/>
          <w:sz w:val="24"/>
          <w:szCs w:val="24"/>
        </w:rPr>
        <w:t xml:space="preserve">Proteggere la foresta promuovendo azioni di prevenzione da </w:t>
      </w:r>
      <w:r w:rsidRPr="00DF56A5">
        <w:rPr>
          <w:rFonts w:ascii="Arial" w:eastAsiaTheme="minorHAnsi" w:hAnsi="Arial" w:cs="Arial"/>
          <w:b/>
          <w:bCs/>
          <w:i/>
          <w:iCs/>
          <w:color w:val="000000"/>
          <w:sz w:val="24"/>
          <w:szCs w:val="24"/>
        </w:rPr>
        <w:t>rischi naturali e antropici</w:t>
      </w:r>
      <w:r w:rsidRPr="00DF56A5">
        <w:rPr>
          <w:rFonts w:ascii="Arial" w:eastAsiaTheme="minorHAnsi" w:hAnsi="Arial" w:cs="Arial"/>
          <w:i/>
          <w:iCs/>
          <w:color w:val="000000"/>
          <w:sz w:val="24"/>
          <w:szCs w:val="24"/>
        </w:rPr>
        <w:t>, di difesa idrogeologica, di difesa dagli incendi e dalle avversità̀ biotiche ed abiotiche, di adattamento al cambiamento climatico, di recupero delle aree degradate o danneggiate, di sequestro del carbonio e di erogazione di altri Servizi Ecosistemici generati dalla G</w:t>
      </w:r>
      <w:r w:rsidR="009F1782" w:rsidRPr="00DF56A5">
        <w:rPr>
          <w:rFonts w:ascii="Arial" w:eastAsiaTheme="minorHAnsi" w:hAnsi="Arial" w:cs="Arial"/>
          <w:i/>
          <w:iCs/>
          <w:color w:val="000000"/>
          <w:sz w:val="24"/>
          <w:szCs w:val="24"/>
        </w:rPr>
        <w:t>estione Forestale Sostenibile</w:t>
      </w:r>
      <w:r w:rsidRPr="00DF56A5">
        <w:rPr>
          <w:rFonts w:ascii="Arial" w:eastAsiaTheme="minorHAnsi" w:hAnsi="Arial" w:cs="Arial"/>
          <w:i/>
          <w:iCs/>
          <w:color w:val="000000"/>
          <w:sz w:val="24"/>
          <w:szCs w:val="24"/>
        </w:rPr>
        <w:t xml:space="preserve">. </w:t>
      </w:r>
    </w:p>
    <w:p w14:paraId="41A3E134" w14:textId="22AA9B51" w:rsidR="00AE3918" w:rsidRPr="00DF56A5" w:rsidRDefault="00AE3918" w:rsidP="006332E1">
      <w:pPr>
        <w:pStyle w:val="Corpotesto"/>
        <w:ind w:right="45"/>
        <w:jc w:val="both"/>
        <w:rPr>
          <w:rFonts w:ascii="Arial" w:hAnsi="Arial" w:cs="Arial"/>
          <w:sz w:val="24"/>
          <w:szCs w:val="24"/>
        </w:rPr>
      </w:pPr>
    </w:p>
    <w:p w14:paraId="061530C5" w14:textId="720F87F7" w:rsidR="003923F5" w:rsidRPr="00DF56A5" w:rsidRDefault="00EE57A7" w:rsidP="004053B8">
      <w:pPr>
        <w:pStyle w:val="Corpotesto"/>
        <w:ind w:right="45" w:firstLine="567"/>
        <w:jc w:val="both"/>
        <w:rPr>
          <w:rFonts w:ascii="Arial" w:hAnsi="Arial" w:cs="Arial"/>
          <w:sz w:val="24"/>
          <w:szCs w:val="24"/>
        </w:rPr>
      </w:pPr>
      <w:r w:rsidRPr="00DF56A5">
        <w:rPr>
          <w:rFonts w:ascii="Arial" w:hAnsi="Arial" w:cs="Arial"/>
          <w:sz w:val="24"/>
          <w:szCs w:val="24"/>
        </w:rPr>
        <w:t>Nell’art</w:t>
      </w:r>
      <w:r w:rsidR="004053B8" w:rsidRPr="00DF56A5">
        <w:rPr>
          <w:rFonts w:ascii="Arial" w:hAnsi="Arial" w:cs="Arial"/>
          <w:sz w:val="24"/>
          <w:szCs w:val="24"/>
        </w:rPr>
        <w:t xml:space="preserve">. </w:t>
      </w:r>
      <w:r w:rsidRPr="00DF56A5">
        <w:rPr>
          <w:rFonts w:ascii="Arial" w:hAnsi="Arial" w:cs="Arial"/>
          <w:sz w:val="24"/>
          <w:szCs w:val="24"/>
        </w:rPr>
        <w:t xml:space="preserve">6 </w:t>
      </w:r>
      <w:r w:rsidR="004053B8" w:rsidRPr="00DF56A5">
        <w:rPr>
          <w:rFonts w:ascii="Arial" w:hAnsi="Arial" w:cs="Arial"/>
          <w:sz w:val="24"/>
          <w:szCs w:val="24"/>
        </w:rPr>
        <w:t xml:space="preserve">si </w:t>
      </w:r>
      <w:r w:rsidR="00B248AD" w:rsidRPr="00DF56A5">
        <w:rPr>
          <w:rFonts w:ascii="Arial" w:hAnsi="Arial" w:cs="Arial"/>
          <w:sz w:val="24"/>
          <w:szCs w:val="24"/>
        </w:rPr>
        <w:t xml:space="preserve">dichiara che </w:t>
      </w:r>
      <w:r w:rsidR="006B2F7E" w:rsidRPr="00DF56A5">
        <w:rPr>
          <w:rFonts w:ascii="Arial" w:hAnsi="Arial" w:cs="Arial"/>
          <w:sz w:val="24"/>
          <w:szCs w:val="24"/>
        </w:rPr>
        <w:t>al</w:t>
      </w:r>
      <w:r w:rsidR="00B248AD" w:rsidRPr="00DF56A5">
        <w:rPr>
          <w:rFonts w:ascii="Arial" w:hAnsi="Arial" w:cs="Arial"/>
          <w:sz w:val="24"/>
          <w:szCs w:val="24"/>
        </w:rPr>
        <w:t xml:space="preserve">le Regioni, in quanto incaricate della Pianificazione Forestale, </w:t>
      </w:r>
      <w:r w:rsidR="006B2F7E" w:rsidRPr="00DF56A5">
        <w:rPr>
          <w:rFonts w:ascii="Arial" w:hAnsi="Arial" w:cs="Arial"/>
          <w:sz w:val="24"/>
          <w:szCs w:val="24"/>
        </w:rPr>
        <w:t xml:space="preserve">è demandato il compito di </w:t>
      </w:r>
      <w:r w:rsidR="008225CF" w:rsidRPr="00DF56A5">
        <w:rPr>
          <w:rFonts w:ascii="Arial" w:hAnsi="Arial" w:cs="Arial"/>
          <w:sz w:val="24"/>
          <w:szCs w:val="24"/>
        </w:rPr>
        <w:t>promuovere sistemi di pagamento dei servizi ecosistemici generati dalle attività di gestione forestale</w:t>
      </w:r>
      <w:r w:rsidR="00A4697E" w:rsidRPr="00DF56A5">
        <w:rPr>
          <w:rFonts w:ascii="Arial" w:hAnsi="Arial" w:cs="Arial"/>
          <w:sz w:val="24"/>
          <w:szCs w:val="24"/>
        </w:rPr>
        <w:t xml:space="preserve">, che si può leggere dall’estratto </w:t>
      </w:r>
      <w:r w:rsidR="00A4697E" w:rsidRPr="00DF56A5">
        <w:rPr>
          <w:rFonts w:ascii="Arial" w:hAnsi="Arial" w:cs="Arial"/>
          <w:sz w:val="24"/>
          <w:szCs w:val="24"/>
        </w:rPr>
        <w:lastRenderedPageBreak/>
        <w:t>che viene riportato di seguito.</w:t>
      </w:r>
    </w:p>
    <w:p w14:paraId="675339E8" w14:textId="77777777" w:rsidR="00AE3918" w:rsidRPr="00DF56A5" w:rsidRDefault="00AE3918" w:rsidP="006332E1">
      <w:pPr>
        <w:pStyle w:val="Corpotesto"/>
        <w:ind w:right="45"/>
        <w:jc w:val="both"/>
        <w:rPr>
          <w:rFonts w:ascii="Arial" w:hAnsi="Arial" w:cs="Arial"/>
          <w:sz w:val="24"/>
          <w:szCs w:val="24"/>
        </w:rPr>
      </w:pPr>
    </w:p>
    <w:p w14:paraId="733910A7" w14:textId="638BD05D" w:rsidR="003B17D1" w:rsidRPr="00DF56A5" w:rsidRDefault="00A4697E" w:rsidP="008658EB">
      <w:pPr>
        <w:widowControl/>
        <w:adjustRightInd w:val="0"/>
        <w:jc w:val="both"/>
        <w:rPr>
          <w:rFonts w:ascii="Arial" w:eastAsiaTheme="minorHAnsi" w:hAnsi="Arial" w:cs="Arial"/>
          <w:b/>
          <w:bCs/>
          <w:i/>
          <w:iCs/>
          <w:sz w:val="24"/>
          <w:szCs w:val="24"/>
        </w:rPr>
      </w:pPr>
      <w:r w:rsidRPr="00DF56A5">
        <w:rPr>
          <w:rFonts w:ascii="Arial" w:eastAsiaTheme="minorHAnsi" w:hAnsi="Arial" w:cs="Arial"/>
          <w:b/>
          <w:bCs/>
          <w:i/>
          <w:iCs/>
          <w:sz w:val="24"/>
          <w:szCs w:val="24"/>
        </w:rPr>
        <w:t xml:space="preserve">TUFF - </w:t>
      </w:r>
      <w:r w:rsidR="00AE3918" w:rsidRPr="00DF56A5">
        <w:rPr>
          <w:rFonts w:ascii="Arial" w:eastAsiaTheme="minorHAnsi" w:hAnsi="Arial" w:cs="Arial"/>
          <w:b/>
          <w:bCs/>
          <w:i/>
          <w:iCs/>
          <w:sz w:val="24"/>
          <w:szCs w:val="24"/>
        </w:rPr>
        <w:t>Articolo 6, com</w:t>
      </w:r>
      <w:r w:rsidR="008658EB" w:rsidRPr="00DF56A5">
        <w:rPr>
          <w:rFonts w:ascii="Arial" w:eastAsiaTheme="minorHAnsi" w:hAnsi="Arial" w:cs="Arial"/>
          <w:b/>
          <w:bCs/>
          <w:i/>
          <w:iCs/>
          <w:sz w:val="24"/>
          <w:szCs w:val="24"/>
        </w:rPr>
        <w:t>mi</w:t>
      </w:r>
      <w:r w:rsidR="00AE3918" w:rsidRPr="00DF56A5">
        <w:rPr>
          <w:rFonts w:ascii="Arial" w:eastAsiaTheme="minorHAnsi" w:hAnsi="Arial" w:cs="Arial"/>
          <w:b/>
          <w:bCs/>
          <w:i/>
          <w:iCs/>
          <w:sz w:val="24"/>
          <w:szCs w:val="24"/>
        </w:rPr>
        <w:t xml:space="preserve"> 8</w:t>
      </w:r>
      <w:r w:rsidR="008658EB" w:rsidRPr="00DF56A5">
        <w:rPr>
          <w:rFonts w:ascii="Arial" w:eastAsiaTheme="minorHAnsi" w:hAnsi="Arial" w:cs="Arial"/>
          <w:b/>
          <w:bCs/>
          <w:i/>
          <w:iCs/>
          <w:sz w:val="24"/>
          <w:szCs w:val="24"/>
        </w:rPr>
        <w:t>-10</w:t>
      </w:r>
    </w:p>
    <w:p w14:paraId="41AF004E" w14:textId="77777777" w:rsidR="00AE3918" w:rsidRPr="00DF56A5" w:rsidRDefault="003B17D1" w:rsidP="008658EB">
      <w:pPr>
        <w:widowControl/>
        <w:adjustRightInd w:val="0"/>
        <w:jc w:val="both"/>
        <w:rPr>
          <w:rFonts w:ascii="Arial" w:eastAsiaTheme="minorHAnsi" w:hAnsi="Arial" w:cs="Arial"/>
          <w:i/>
          <w:iCs/>
          <w:sz w:val="24"/>
          <w:szCs w:val="24"/>
        </w:rPr>
      </w:pPr>
      <w:r w:rsidRPr="00DF56A5">
        <w:rPr>
          <w:rFonts w:ascii="Arial" w:eastAsiaTheme="minorHAnsi" w:hAnsi="Arial" w:cs="Arial"/>
          <w:i/>
          <w:iCs/>
          <w:sz w:val="24"/>
          <w:szCs w:val="24"/>
        </w:rPr>
        <w:t>8. Le regioni, coerentemente con quanto previsto dalla Strategia</w:t>
      </w:r>
      <w:r w:rsidR="00AE3918" w:rsidRPr="00DF56A5">
        <w:rPr>
          <w:rFonts w:ascii="Arial" w:eastAsiaTheme="minorHAnsi" w:hAnsi="Arial" w:cs="Arial"/>
          <w:i/>
          <w:iCs/>
          <w:sz w:val="24"/>
          <w:szCs w:val="24"/>
        </w:rPr>
        <w:t xml:space="preserve"> </w:t>
      </w:r>
      <w:r w:rsidRPr="00DF56A5">
        <w:rPr>
          <w:rFonts w:ascii="Arial" w:eastAsiaTheme="minorHAnsi" w:hAnsi="Arial" w:cs="Arial"/>
          <w:i/>
          <w:iCs/>
          <w:sz w:val="24"/>
          <w:szCs w:val="24"/>
        </w:rPr>
        <w:t>forestale dell'Unione europea COM (2013) n. 659 del 20 settembre</w:t>
      </w:r>
      <w:r w:rsidR="00AE3918" w:rsidRPr="00DF56A5">
        <w:rPr>
          <w:rFonts w:ascii="Arial" w:eastAsiaTheme="minorHAnsi" w:hAnsi="Arial" w:cs="Arial"/>
          <w:i/>
          <w:iCs/>
          <w:sz w:val="24"/>
          <w:szCs w:val="24"/>
        </w:rPr>
        <w:t xml:space="preserve"> </w:t>
      </w:r>
      <w:r w:rsidRPr="00DF56A5">
        <w:rPr>
          <w:rFonts w:ascii="Arial" w:eastAsiaTheme="minorHAnsi" w:hAnsi="Arial" w:cs="Arial"/>
          <w:i/>
          <w:iCs/>
          <w:sz w:val="24"/>
          <w:szCs w:val="24"/>
        </w:rPr>
        <w:t>2013, promuovono sistemi di pagamento dei servizi ecosistemici ed</w:t>
      </w:r>
      <w:r w:rsidR="00AE3918" w:rsidRPr="00DF56A5">
        <w:rPr>
          <w:rFonts w:ascii="Arial" w:eastAsiaTheme="minorHAnsi" w:hAnsi="Arial" w:cs="Arial"/>
          <w:i/>
          <w:iCs/>
          <w:sz w:val="24"/>
          <w:szCs w:val="24"/>
        </w:rPr>
        <w:t xml:space="preserve"> </w:t>
      </w:r>
      <w:r w:rsidRPr="00DF56A5">
        <w:rPr>
          <w:rFonts w:ascii="Arial" w:eastAsiaTheme="minorHAnsi" w:hAnsi="Arial" w:cs="Arial"/>
          <w:i/>
          <w:iCs/>
          <w:sz w:val="24"/>
          <w:szCs w:val="24"/>
        </w:rPr>
        <w:t xml:space="preserve">ambientali (PSE) generati dalle </w:t>
      </w:r>
      <w:proofErr w:type="spellStart"/>
      <w:r w:rsidRPr="00DF56A5">
        <w:rPr>
          <w:rFonts w:ascii="Arial" w:eastAsiaTheme="minorHAnsi" w:hAnsi="Arial" w:cs="Arial"/>
          <w:i/>
          <w:iCs/>
          <w:sz w:val="24"/>
          <w:szCs w:val="24"/>
        </w:rPr>
        <w:t>attivita'</w:t>
      </w:r>
      <w:proofErr w:type="spellEnd"/>
      <w:r w:rsidRPr="00DF56A5">
        <w:rPr>
          <w:rFonts w:ascii="Arial" w:eastAsiaTheme="minorHAnsi" w:hAnsi="Arial" w:cs="Arial"/>
          <w:i/>
          <w:iCs/>
          <w:sz w:val="24"/>
          <w:szCs w:val="24"/>
        </w:rPr>
        <w:t xml:space="preserve"> di gestione forestale</w:t>
      </w:r>
      <w:r w:rsidR="00AE3918" w:rsidRPr="00DF56A5">
        <w:rPr>
          <w:rFonts w:ascii="Arial" w:eastAsiaTheme="minorHAnsi" w:hAnsi="Arial" w:cs="Arial"/>
          <w:i/>
          <w:iCs/>
          <w:sz w:val="24"/>
          <w:szCs w:val="24"/>
        </w:rPr>
        <w:t xml:space="preserve"> </w:t>
      </w:r>
      <w:r w:rsidRPr="00DF56A5">
        <w:rPr>
          <w:rFonts w:ascii="Arial" w:eastAsiaTheme="minorHAnsi" w:hAnsi="Arial" w:cs="Arial"/>
          <w:i/>
          <w:iCs/>
          <w:sz w:val="24"/>
          <w:szCs w:val="24"/>
        </w:rPr>
        <w:t xml:space="preserve">sostenibile e dall'assunzione di specifici impegni </w:t>
      </w:r>
      <w:proofErr w:type="spellStart"/>
      <w:r w:rsidRPr="00DF56A5">
        <w:rPr>
          <w:rFonts w:ascii="Arial" w:eastAsiaTheme="minorHAnsi" w:hAnsi="Arial" w:cs="Arial"/>
          <w:i/>
          <w:iCs/>
          <w:sz w:val="24"/>
          <w:szCs w:val="24"/>
        </w:rPr>
        <w:t>silvo</w:t>
      </w:r>
      <w:proofErr w:type="spellEnd"/>
      <w:r w:rsidRPr="00DF56A5">
        <w:rPr>
          <w:rFonts w:ascii="Arial" w:eastAsiaTheme="minorHAnsi" w:hAnsi="Arial" w:cs="Arial"/>
          <w:i/>
          <w:iCs/>
          <w:sz w:val="24"/>
          <w:szCs w:val="24"/>
        </w:rPr>
        <w:t>-ambientali</w:t>
      </w:r>
      <w:r w:rsidR="00AE3918" w:rsidRPr="00DF56A5">
        <w:rPr>
          <w:rFonts w:ascii="Arial" w:eastAsiaTheme="minorHAnsi" w:hAnsi="Arial" w:cs="Arial"/>
          <w:i/>
          <w:iCs/>
          <w:sz w:val="24"/>
          <w:szCs w:val="24"/>
        </w:rPr>
        <w:t xml:space="preserve"> </w:t>
      </w:r>
      <w:r w:rsidRPr="00DF56A5">
        <w:rPr>
          <w:rFonts w:ascii="Arial" w:eastAsiaTheme="minorHAnsi" w:hAnsi="Arial" w:cs="Arial"/>
          <w:i/>
          <w:iCs/>
          <w:sz w:val="24"/>
          <w:szCs w:val="24"/>
        </w:rPr>
        <w:t>informando e sostenendo i proprietari, i gestori e i beneficiari dei</w:t>
      </w:r>
      <w:r w:rsidR="00AE3918" w:rsidRPr="00DF56A5">
        <w:rPr>
          <w:rFonts w:ascii="Arial" w:eastAsiaTheme="minorHAnsi" w:hAnsi="Arial" w:cs="Arial"/>
          <w:i/>
          <w:iCs/>
          <w:sz w:val="24"/>
          <w:szCs w:val="24"/>
        </w:rPr>
        <w:t xml:space="preserve"> </w:t>
      </w:r>
      <w:r w:rsidRPr="00DF56A5">
        <w:rPr>
          <w:rFonts w:ascii="Arial" w:eastAsiaTheme="minorHAnsi" w:hAnsi="Arial" w:cs="Arial"/>
          <w:i/>
          <w:iCs/>
          <w:sz w:val="24"/>
          <w:szCs w:val="24"/>
        </w:rPr>
        <w:t>servizi nella definizione, nel monitoraggio e nel controllo degli</w:t>
      </w:r>
      <w:r w:rsidR="00AE3918" w:rsidRPr="00DF56A5">
        <w:rPr>
          <w:rFonts w:ascii="Arial" w:eastAsiaTheme="minorHAnsi" w:hAnsi="Arial" w:cs="Arial"/>
          <w:i/>
          <w:iCs/>
          <w:sz w:val="24"/>
          <w:szCs w:val="24"/>
        </w:rPr>
        <w:t xml:space="preserve"> </w:t>
      </w:r>
      <w:r w:rsidRPr="00DF56A5">
        <w:rPr>
          <w:rFonts w:ascii="Arial" w:eastAsiaTheme="minorHAnsi" w:hAnsi="Arial" w:cs="Arial"/>
          <w:i/>
          <w:iCs/>
          <w:sz w:val="24"/>
          <w:szCs w:val="24"/>
        </w:rPr>
        <w:t>accordi contrattuali. I criteri di definizione dei sistemi di</w:t>
      </w:r>
      <w:r w:rsidR="00AE3918" w:rsidRPr="00DF56A5">
        <w:rPr>
          <w:rFonts w:ascii="Arial" w:eastAsiaTheme="minorHAnsi" w:hAnsi="Arial" w:cs="Arial"/>
          <w:i/>
          <w:iCs/>
          <w:sz w:val="24"/>
          <w:szCs w:val="24"/>
        </w:rPr>
        <w:t xml:space="preserve"> </w:t>
      </w:r>
      <w:r w:rsidRPr="00DF56A5">
        <w:rPr>
          <w:rFonts w:ascii="Arial" w:eastAsiaTheme="minorHAnsi" w:hAnsi="Arial" w:cs="Arial"/>
          <w:i/>
          <w:iCs/>
          <w:sz w:val="24"/>
          <w:szCs w:val="24"/>
        </w:rPr>
        <w:t>remunerazione dei servizi ecosistemici ed ambientali (PSE) risultano</w:t>
      </w:r>
      <w:r w:rsidR="00AE3918" w:rsidRPr="00DF56A5">
        <w:rPr>
          <w:rFonts w:ascii="Arial" w:eastAsiaTheme="minorHAnsi" w:hAnsi="Arial" w:cs="Arial"/>
          <w:i/>
          <w:iCs/>
          <w:sz w:val="24"/>
          <w:szCs w:val="24"/>
        </w:rPr>
        <w:t xml:space="preserve"> </w:t>
      </w:r>
      <w:r w:rsidRPr="00DF56A5">
        <w:rPr>
          <w:rFonts w:ascii="Arial" w:eastAsiaTheme="minorHAnsi" w:hAnsi="Arial" w:cs="Arial"/>
          <w:i/>
          <w:iCs/>
          <w:sz w:val="24"/>
          <w:szCs w:val="24"/>
        </w:rPr>
        <w:t>essere quelli di cui all'articolo 70 della legge 28 dicembre 2015, n.</w:t>
      </w:r>
      <w:r w:rsidR="00AE3918" w:rsidRPr="00DF56A5">
        <w:rPr>
          <w:rFonts w:ascii="Arial" w:eastAsiaTheme="minorHAnsi" w:hAnsi="Arial" w:cs="Arial"/>
          <w:i/>
          <w:iCs/>
          <w:sz w:val="24"/>
          <w:szCs w:val="24"/>
        </w:rPr>
        <w:t xml:space="preserve"> </w:t>
      </w:r>
      <w:r w:rsidRPr="00DF56A5">
        <w:rPr>
          <w:rFonts w:ascii="Arial" w:eastAsiaTheme="minorHAnsi" w:hAnsi="Arial" w:cs="Arial"/>
          <w:i/>
          <w:iCs/>
          <w:sz w:val="24"/>
          <w:szCs w:val="24"/>
        </w:rPr>
        <w:t>221, con particolare riguardo ai beneficiari finali del sistema di</w:t>
      </w:r>
      <w:r w:rsidR="00AE3918" w:rsidRPr="00DF56A5">
        <w:rPr>
          <w:rFonts w:ascii="Arial" w:eastAsiaTheme="minorHAnsi" w:hAnsi="Arial" w:cs="Arial"/>
          <w:i/>
          <w:iCs/>
          <w:sz w:val="24"/>
          <w:szCs w:val="24"/>
        </w:rPr>
        <w:t xml:space="preserve"> </w:t>
      </w:r>
      <w:r w:rsidRPr="00DF56A5">
        <w:rPr>
          <w:rFonts w:ascii="Arial" w:eastAsiaTheme="minorHAnsi" w:hAnsi="Arial" w:cs="Arial"/>
          <w:i/>
          <w:iCs/>
          <w:sz w:val="24"/>
          <w:szCs w:val="24"/>
        </w:rPr>
        <w:t xml:space="preserve">pagamento indicati alla lettera h) del comma 2 del </w:t>
      </w:r>
      <w:proofErr w:type="gramStart"/>
      <w:r w:rsidRPr="00DF56A5">
        <w:rPr>
          <w:rFonts w:ascii="Arial" w:eastAsiaTheme="minorHAnsi" w:hAnsi="Arial" w:cs="Arial"/>
          <w:i/>
          <w:iCs/>
          <w:sz w:val="24"/>
          <w:szCs w:val="24"/>
        </w:rPr>
        <w:t>predetto</w:t>
      </w:r>
      <w:proofErr w:type="gramEnd"/>
      <w:r w:rsidRPr="00DF56A5">
        <w:rPr>
          <w:rFonts w:ascii="Arial" w:eastAsiaTheme="minorHAnsi" w:hAnsi="Arial" w:cs="Arial"/>
          <w:i/>
          <w:iCs/>
          <w:sz w:val="24"/>
          <w:szCs w:val="24"/>
        </w:rPr>
        <w:t xml:space="preserve"> articolo</w:t>
      </w:r>
      <w:r w:rsidR="00AE3918" w:rsidRPr="00DF56A5">
        <w:rPr>
          <w:rFonts w:ascii="Arial" w:eastAsiaTheme="minorHAnsi" w:hAnsi="Arial" w:cs="Arial"/>
          <w:i/>
          <w:iCs/>
          <w:sz w:val="24"/>
          <w:szCs w:val="24"/>
        </w:rPr>
        <w:t xml:space="preserve"> </w:t>
      </w:r>
      <w:r w:rsidRPr="00DF56A5">
        <w:rPr>
          <w:rFonts w:ascii="Arial" w:eastAsiaTheme="minorHAnsi" w:hAnsi="Arial" w:cs="Arial"/>
          <w:i/>
          <w:iCs/>
          <w:sz w:val="24"/>
          <w:szCs w:val="24"/>
        </w:rPr>
        <w:t>70.</w:t>
      </w:r>
      <w:r w:rsidR="00AE3918" w:rsidRPr="00DF56A5">
        <w:rPr>
          <w:rFonts w:ascii="Arial" w:eastAsiaTheme="minorHAnsi" w:hAnsi="Arial" w:cs="Arial"/>
          <w:i/>
          <w:iCs/>
          <w:sz w:val="24"/>
          <w:szCs w:val="24"/>
        </w:rPr>
        <w:t xml:space="preserve"> </w:t>
      </w:r>
    </w:p>
    <w:p w14:paraId="5033650C" w14:textId="77777777" w:rsidR="00DC4B80" w:rsidRPr="00DF56A5" w:rsidRDefault="003B17D1" w:rsidP="008658EB">
      <w:pPr>
        <w:widowControl/>
        <w:adjustRightInd w:val="0"/>
        <w:jc w:val="both"/>
        <w:rPr>
          <w:rFonts w:ascii="Arial" w:eastAsiaTheme="minorHAnsi" w:hAnsi="Arial" w:cs="Arial"/>
          <w:i/>
          <w:iCs/>
          <w:sz w:val="24"/>
          <w:szCs w:val="24"/>
        </w:rPr>
      </w:pPr>
      <w:r w:rsidRPr="00DF56A5">
        <w:rPr>
          <w:rFonts w:ascii="Arial" w:eastAsiaTheme="minorHAnsi" w:hAnsi="Arial" w:cs="Arial"/>
          <w:i/>
          <w:iCs/>
          <w:sz w:val="24"/>
          <w:szCs w:val="24"/>
        </w:rPr>
        <w:t>9. La promozione di sistemi PSE di cui al comma 8, deve avvenire</w:t>
      </w:r>
      <w:r w:rsidR="00DC4B80" w:rsidRPr="00DF56A5">
        <w:rPr>
          <w:rFonts w:ascii="Arial" w:eastAsiaTheme="minorHAnsi" w:hAnsi="Arial" w:cs="Arial"/>
          <w:i/>
          <w:iCs/>
          <w:sz w:val="24"/>
          <w:szCs w:val="24"/>
        </w:rPr>
        <w:t xml:space="preserve"> </w:t>
      </w:r>
      <w:r w:rsidRPr="00DF56A5">
        <w:rPr>
          <w:rFonts w:ascii="Arial" w:eastAsiaTheme="minorHAnsi" w:hAnsi="Arial" w:cs="Arial"/>
          <w:i/>
          <w:iCs/>
          <w:sz w:val="24"/>
          <w:szCs w:val="24"/>
        </w:rPr>
        <w:t>anche nel rispetto dei seguenti principi e criteri generali:</w:t>
      </w:r>
      <w:r w:rsidR="00DC4B80" w:rsidRPr="00DF56A5">
        <w:rPr>
          <w:rFonts w:ascii="Arial" w:eastAsiaTheme="minorHAnsi" w:hAnsi="Arial" w:cs="Arial"/>
          <w:i/>
          <w:iCs/>
          <w:sz w:val="24"/>
          <w:szCs w:val="24"/>
        </w:rPr>
        <w:t xml:space="preserve"> </w:t>
      </w:r>
    </w:p>
    <w:p w14:paraId="63BEF120" w14:textId="7DBB7427" w:rsidR="00DC4B80" w:rsidRPr="00DF56A5" w:rsidRDefault="003B17D1" w:rsidP="00076117">
      <w:pPr>
        <w:pStyle w:val="Paragrafoelenco"/>
        <w:widowControl/>
        <w:numPr>
          <w:ilvl w:val="0"/>
          <w:numId w:val="26"/>
        </w:numPr>
        <w:adjustRightInd w:val="0"/>
        <w:jc w:val="both"/>
        <w:rPr>
          <w:rFonts w:ascii="Arial" w:eastAsiaTheme="minorHAnsi" w:hAnsi="Arial" w:cs="Arial"/>
          <w:i/>
          <w:iCs/>
          <w:sz w:val="24"/>
          <w:szCs w:val="24"/>
        </w:rPr>
      </w:pPr>
      <w:r w:rsidRPr="00DF56A5">
        <w:rPr>
          <w:rFonts w:ascii="Arial" w:eastAsiaTheme="minorHAnsi" w:hAnsi="Arial" w:cs="Arial"/>
          <w:i/>
          <w:iCs/>
          <w:sz w:val="24"/>
          <w:szCs w:val="24"/>
        </w:rPr>
        <w:t xml:space="preserve">la </w:t>
      </w:r>
      <w:proofErr w:type="spellStart"/>
      <w:r w:rsidRPr="00DF56A5">
        <w:rPr>
          <w:rFonts w:ascii="Arial" w:eastAsiaTheme="minorHAnsi" w:hAnsi="Arial" w:cs="Arial"/>
          <w:i/>
          <w:iCs/>
          <w:sz w:val="24"/>
          <w:szCs w:val="24"/>
        </w:rPr>
        <w:t>volontarieta'</w:t>
      </w:r>
      <w:proofErr w:type="spellEnd"/>
      <w:r w:rsidRPr="00DF56A5">
        <w:rPr>
          <w:rFonts w:ascii="Arial" w:eastAsiaTheme="minorHAnsi" w:hAnsi="Arial" w:cs="Arial"/>
          <w:i/>
          <w:iCs/>
          <w:sz w:val="24"/>
          <w:szCs w:val="24"/>
        </w:rPr>
        <w:t xml:space="preserve"> dell'accordo, che </w:t>
      </w:r>
      <w:proofErr w:type="spellStart"/>
      <w:r w:rsidRPr="00DF56A5">
        <w:rPr>
          <w:rFonts w:ascii="Arial" w:eastAsiaTheme="minorHAnsi" w:hAnsi="Arial" w:cs="Arial"/>
          <w:i/>
          <w:iCs/>
          <w:sz w:val="24"/>
          <w:szCs w:val="24"/>
        </w:rPr>
        <w:t>dovra'</w:t>
      </w:r>
      <w:proofErr w:type="spellEnd"/>
      <w:r w:rsidRPr="00DF56A5">
        <w:rPr>
          <w:rFonts w:ascii="Arial" w:eastAsiaTheme="minorHAnsi" w:hAnsi="Arial" w:cs="Arial"/>
          <w:i/>
          <w:iCs/>
          <w:sz w:val="24"/>
          <w:szCs w:val="24"/>
        </w:rPr>
        <w:t xml:space="preserve"> definire le</w:t>
      </w:r>
      <w:r w:rsidR="00DC4B80" w:rsidRPr="00DF56A5">
        <w:rPr>
          <w:rFonts w:ascii="Arial" w:eastAsiaTheme="minorHAnsi" w:hAnsi="Arial" w:cs="Arial"/>
          <w:i/>
          <w:iCs/>
          <w:sz w:val="24"/>
          <w:szCs w:val="24"/>
        </w:rPr>
        <w:t xml:space="preserve"> </w:t>
      </w:r>
      <w:proofErr w:type="spellStart"/>
      <w:r w:rsidRPr="00DF56A5">
        <w:rPr>
          <w:rFonts w:ascii="Arial" w:eastAsiaTheme="minorHAnsi" w:hAnsi="Arial" w:cs="Arial"/>
          <w:i/>
          <w:iCs/>
          <w:sz w:val="24"/>
          <w:szCs w:val="24"/>
        </w:rPr>
        <w:t>modalita'</w:t>
      </w:r>
      <w:proofErr w:type="spellEnd"/>
      <w:r w:rsidRPr="00DF56A5">
        <w:rPr>
          <w:rFonts w:ascii="Arial" w:eastAsiaTheme="minorHAnsi" w:hAnsi="Arial" w:cs="Arial"/>
          <w:i/>
          <w:iCs/>
          <w:sz w:val="24"/>
          <w:szCs w:val="24"/>
        </w:rPr>
        <w:t xml:space="preserve"> di fornitura e di pagamento del servizio;</w:t>
      </w:r>
      <w:r w:rsidR="00DC4B80" w:rsidRPr="00DF56A5">
        <w:rPr>
          <w:rFonts w:ascii="Arial" w:eastAsiaTheme="minorHAnsi" w:hAnsi="Arial" w:cs="Arial"/>
          <w:i/>
          <w:iCs/>
          <w:sz w:val="24"/>
          <w:szCs w:val="24"/>
        </w:rPr>
        <w:t xml:space="preserve"> </w:t>
      </w:r>
    </w:p>
    <w:p w14:paraId="4D484A4F" w14:textId="5BBA0170" w:rsidR="00D053B0" w:rsidRPr="00DF56A5" w:rsidRDefault="003B17D1" w:rsidP="00076117">
      <w:pPr>
        <w:pStyle w:val="Paragrafoelenco"/>
        <w:widowControl/>
        <w:numPr>
          <w:ilvl w:val="0"/>
          <w:numId w:val="26"/>
        </w:numPr>
        <w:adjustRightInd w:val="0"/>
        <w:jc w:val="both"/>
        <w:rPr>
          <w:rFonts w:ascii="Arial" w:eastAsiaTheme="minorHAnsi" w:hAnsi="Arial" w:cs="Arial"/>
          <w:i/>
          <w:iCs/>
          <w:sz w:val="24"/>
          <w:szCs w:val="24"/>
        </w:rPr>
      </w:pPr>
      <w:proofErr w:type="spellStart"/>
      <w:r w:rsidRPr="00DF56A5">
        <w:rPr>
          <w:rFonts w:ascii="Arial" w:eastAsiaTheme="minorHAnsi" w:hAnsi="Arial" w:cs="Arial"/>
          <w:i/>
          <w:iCs/>
          <w:sz w:val="24"/>
          <w:szCs w:val="24"/>
        </w:rPr>
        <w:t>l'addizionalita'</w:t>
      </w:r>
      <w:proofErr w:type="spellEnd"/>
      <w:r w:rsidRPr="00DF56A5">
        <w:rPr>
          <w:rFonts w:ascii="Arial" w:eastAsiaTheme="minorHAnsi" w:hAnsi="Arial" w:cs="Arial"/>
          <w:i/>
          <w:iCs/>
          <w:sz w:val="24"/>
          <w:szCs w:val="24"/>
        </w:rPr>
        <w:t xml:space="preserve"> degli interventi oggetto di PSE rispetto alle</w:t>
      </w:r>
      <w:r w:rsidR="00DC4B80" w:rsidRPr="00DF56A5">
        <w:rPr>
          <w:rFonts w:ascii="Arial" w:eastAsiaTheme="minorHAnsi" w:hAnsi="Arial" w:cs="Arial"/>
          <w:i/>
          <w:iCs/>
          <w:sz w:val="24"/>
          <w:szCs w:val="24"/>
        </w:rPr>
        <w:t xml:space="preserve"> </w:t>
      </w:r>
      <w:r w:rsidRPr="00DF56A5">
        <w:rPr>
          <w:rFonts w:ascii="Arial" w:eastAsiaTheme="minorHAnsi" w:hAnsi="Arial" w:cs="Arial"/>
          <w:i/>
          <w:iCs/>
          <w:sz w:val="24"/>
          <w:szCs w:val="24"/>
        </w:rPr>
        <w:t>condizioni ordinarie di offerta dei servizi;</w:t>
      </w:r>
    </w:p>
    <w:p w14:paraId="214F70FD" w14:textId="735B6233" w:rsidR="003B17D1" w:rsidRPr="00DF56A5" w:rsidRDefault="003B17D1" w:rsidP="00076117">
      <w:pPr>
        <w:pStyle w:val="Paragrafoelenco"/>
        <w:widowControl/>
        <w:numPr>
          <w:ilvl w:val="0"/>
          <w:numId w:val="26"/>
        </w:numPr>
        <w:adjustRightInd w:val="0"/>
        <w:jc w:val="both"/>
        <w:rPr>
          <w:rFonts w:ascii="Arial" w:eastAsiaTheme="minorHAnsi" w:hAnsi="Arial" w:cs="Arial"/>
          <w:i/>
          <w:iCs/>
          <w:sz w:val="24"/>
          <w:szCs w:val="24"/>
        </w:rPr>
      </w:pPr>
      <w:r w:rsidRPr="00DF56A5">
        <w:rPr>
          <w:rFonts w:ascii="Arial" w:eastAsiaTheme="minorHAnsi" w:hAnsi="Arial" w:cs="Arial"/>
          <w:i/>
          <w:iCs/>
          <w:sz w:val="24"/>
          <w:szCs w:val="24"/>
        </w:rPr>
        <w:t>la permanenza delle diverse funzioni di tutela ambientale</w:t>
      </w:r>
      <w:r w:rsidR="00D053B0" w:rsidRPr="00DF56A5">
        <w:rPr>
          <w:rFonts w:ascii="Arial" w:eastAsiaTheme="minorHAnsi" w:hAnsi="Arial" w:cs="Arial"/>
          <w:i/>
          <w:iCs/>
          <w:sz w:val="24"/>
          <w:szCs w:val="24"/>
        </w:rPr>
        <w:t xml:space="preserve"> </w:t>
      </w:r>
      <w:r w:rsidRPr="00DF56A5">
        <w:rPr>
          <w:rFonts w:ascii="Arial" w:eastAsiaTheme="minorHAnsi" w:hAnsi="Arial" w:cs="Arial"/>
          <w:i/>
          <w:iCs/>
          <w:sz w:val="24"/>
          <w:szCs w:val="24"/>
        </w:rPr>
        <w:t>presenti prima dell'accordo.</w:t>
      </w:r>
    </w:p>
    <w:p w14:paraId="2C7210DC" w14:textId="1D30B4FC" w:rsidR="00B61170" w:rsidRPr="00DF56A5" w:rsidRDefault="003B17D1" w:rsidP="008658EB">
      <w:pPr>
        <w:widowControl/>
        <w:adjustRightInd w:val="0"/>
        <w:jc w:val="both"/>
        <w:rPr>
          <w:rFonts w:ascii="Arial" w:hAnsi="Arial" w:cs="Arial"/>
          <w:i/>
          <w:iCs/>
          <w:sz w:val="24"/>
          <w:szCs w:val="24"/>
        </w:rPr>
      </w:pPr>
      <w:r w:rsidRPr="00DF56A5">
        <w:rPr>
          <w:rFonts w:ascii="Arial" w:eastAsiaTheme="minorHAnsi" w:hAnsi="Arial" w:cs="Arial"/>
          <w:i/>
          <w:iCs/>
          <w:sz w:val="24"/>
          <w:szCs w:val="24"/>
        </w:rPr>
        <w:t xml:space="preserve">10. Le pratiche </w:t>
      </w:r>
      <w:proofErr w:type="spellStart"/>
      <w:r w:rsidRPr="00DF56A5">
        <w:rPr>
          <w:rFonts w:ascii="Arial" w:eastAsiaTheme="minorHAnsi" w:hAnsi="Arial" w:cs="Arial"/>
          <w:i/>
          <w:iCs/>
          <w:sz w:val="24"/>
          <w:szCs w:val="24"/>
        </w:rPr>
        <w:t>selvicolturali</w:t>
      </w:r>
      <w:proofErr w:type="spellEnd"/>
      <w:r w:rsidRPr="00DF56A5">
        <w:rPr>
          <w:rFonts w:ascii="Arial" w:eastAsiaTheme="minorHAnsi" w:hAnsi="Arial" w:cs="Arial"/>
          <w:i/>
          <w:iCs/>
          <w:sz w:val="24"/>
          <w:szCs w:val="24"/>
        </w:rPr>
        <w:t xml:space="preserve"> previste dagli strumenti di</w:t>
      </w:r>
      <w:r w:rsidR="00D053B0" w:rsidRPr="00DF56A5">
        <w:rPr>
          <w:rFonts w:ascii="Arial" w:eastAsiaTheme="minorHAnsi" w:hAnsi="Arial" w:cs="Arial"/>
          <w:i/>
          <w:iCs/>
          <w:sz w:val="24"/>
          <w:szCs w:val="24"/>
        </w:rPr>
        <w:t xml:space="preserve"> </w:t>
      </w:r>
      <w:r w:rsidRPr="00DF56A5">
        <w:rPr>
          <w:rFonts w:ascii="Arial" w:eastAsiaTheme="minorHAnsi" w:hAnsi="Arial" w:cs="Arial"/>
          <w:i/>
          <w:iCs/>
          <w:sz w:val="24"/>
          <w:szCs w:val="24"/>
        </w:rPr>
        <w:t>pianificazione forestale vigenti, condotte senza compromettere la</w:t>
      </w:r>
      <w:r w:rsidR="00D053B0" w:rsidRPr="00DF56A5">
        <w:rPr>
          <w:rFonts w:ascii="Arial" w:eastAsiaTheme="minorHAnsi" w:hAnsi="Arial" w:cs="Arial"/>
          <w:i/>
          <w:iCs/>
          <w:sz w:val="24"/>
          <w:szCs w:val="24"/>
        </w:rPr>
        <w:t xml:space="preserve"> </w:t>
      </w:r>
      <w:proofErr w:type="spellStart"/>
      <w:r w:rsidRPr="00DF56A5">
        <w:rPr>
          <w:rFonts w:ascii="Arial" w:eastAsiaTheme="minorHAnsi" w:hAnsi="Arial" w:cs="Arial"/>
          <w:i/>
          <w:iCs/>
          <w:sz w:val="24"/>
          <w:szCs w:val="24"/>
        </w:rPr>
        <w:t>stabilita'</w:t>
      </w:r>
      <w:proofErr w:type="spellEnd"/>
      <w:r w:rsidRPr="00DF56A5">
        <w:rPr>
          <w:rFonts w:ascii="Arial" w:eastAsiaTheme="minorHAnsi" w:hAnsi="Arial" w:cs="Arial"/>
          <w:i/>
          <w:iCs/>
          <w:sz w:val="24"/>
          <w:szCs w:val="24"/>
        </w:rPr>
        <w:t xml:space="preserve"> delle formazioni forestali e comunque senza il ricorso al</w:t>
      </w:r>
      <w:r w:rsidR="00D053B0" w:rsidRPr="00DF56A5">
        <w:rPr>
          <w:rFonts w:ascii="Arial" w:eastAsiaTheme="minorHAnsi" w:hAnsi="Arial" w:cs="Arial"/>
          <w:i/>
          <w:iCs/>
          <w:sz w:val="24"/>
          <w:szCs w:val="24"/>
        </w:rPr>
        <w:t xml:space="preserve"> </w:t>
      </w:r>
      <w:r w:rsidRPr="00DF56A5">
        <w:rPr>
          <w:rFonts w:ascii="Arial" w:eastAsiaTheme="minorHAnsi" w:hAnsi="Arial" w:cs="Arial"/>
          <w:i/>
          <w:iCs/>
          <w:sz w:val="24"/>
          <w:szCs w:val="24"/>
        </w:rPr>
        <w:t>taglio raso nei governi ad alto fusto, inclusa l'ordinaria gestione</w:t>
      </w:r>
      <w:r w:rsidR="00D053B0" w:rsidRPr="00DF56A5">
        <w:rPr>
          <w:rFonts w:ascii="Arial" w:eastAsiaTheme="minorHAnsi" w:hAnsi="Arial" w:cs="Arial"/>
          <w:i/>
          <w:iCs/>
          <w:sz w:val="24"/>
          <w:szCs w:val="24"/>
        </w:rPr>
        <w:t xml:space="preserve"> </w:t>
      </w:r>
      <w:r w:rsidRPr="00DF56A5">
        <w:rPr>
          <w:rFonts w:ascii="Arial" w:eastAsiaTheme="minorHAnsi" w:hAnsi="Arial" w:cs="Arial"/>
          <w:i/>
          <w:iCs/>
          <w:sz w:val="24"/>
          <w:szCs w:val="24"/>
        </w:rPr>
        <w:t>del bosco governato a ceduo, finalizzate ad ottenere la rinnovazione</w:t>
      </w:r>
      <w:r w:rsidR="00D053B0" w:rsidRPr="00DF56A5">
        <w:rPr>
          <w:rFonts w:ascii="Arial" w:eastAsiaTheme="minorHAnsi" w:hAnsi="Arial" w:cs="Arial"/>
          <w:i/>
          <w:iCs/>
          <w:sz w:val="24"/>
          <w:szCs w:val="24"/>
        </w:rPr>
        <w:t xml:space="preserve"> </w:t>
      </w:r>
      <w:r w:rsidRPr="00DF56A5">
        <w:rPr>
          <w:rFonts w:ascii="Arial" w:eastAsiaTheme="minorHAnsi" w:hAnsi="Arial" w:cs="Arial"/>
          <w:i/>
          <w:iCs/>
          <w:sz w:val="24"/>
          <w:szCs w:val="24"/>
        </w:rPr>
        <w:t>naturale del bosco, la conversione del governo da ceduo ad alto fusto</w:t>
      </w:r>
      <w:r w:rsidR="00D053B0" w:rsidRPr="00DF56A5">
        <w:rPr>
          <w:rFonts w:ascii="Arial" w:eastAsiaTheme="minorHAnsi" w:hAnsi="Arial" w:cs="Arial"/>
          <w:i/>
          <w:iCs/>
          <w:sz w:val="24"/>
          <w:szCs w:val="24"/>
        </w:rPr>
        <w:t xml:space="preserve"> </w:t>
      </w:r>
      <w:r w:rsidRPr="00DF56A5">
        <w:rPr>
          <w:rFonts w:ascii="Arial" w:eastAsiaTheme="minorHAnsi" w:hAnsi="Arial" w:cs="Arial"/>
          <w:i/>
          <w:iCs/>
          <w:sz w:val="24"/>
          <w:szCs w:val="24"/>
        </w:rPr>
        <w:t>e il mantenimento al governo ad alto fusto, sono ascrivibili a buona</w:t>
      </w:r>
      <w:r w:rsidR="00D053B0" w:rsidRPr="00DF56A5">
        <w:rPr>
          <w:rFonts w:ascii="Arial" w:eastAsiaTheme="minorHAnsi" w:hAnsi="Arial" w:cs="Arial"/>
          <w:i/>
          <w:iCs/>
          <w:sz w:val="24"/>
          <w:szCs w:val="24"/>
        </w:rPr>
        <w:t xml:space="preserve"> </w:t>
      </w:r>
      <w:r w:rsidRPr="00DF56A5">
        <w:rPr>
          <w:rFonts w:ascii="Arial" w:eastAsiaTheme="minorHAnsi" w:hAnsi="Arial" w:cs="Arial"/>
          <w:i/>
          <w:iCs/>
          <w:sz w:val="24"/>
          <w:szCs w:val="24"/>
        </w:rPr>
        <w:t xml:space="preserve">pratica forestale e assoggettabili agli impegni </w:t>
      </w:r>
      <w:proofErr w:type="spellStart"/>
      <w:r w:rsidRPr="00DF56A5">
        <w:rPr>
          <w:rFonts w:ascii="Arial" w:eastAsiaTheme="minorHAnsi" w:hAnsi="Arial" w:cs="Arial"/>
          <w:i/>
          <w:iCs/>
          <w:sz w:val="24"/>
          <w:szCs w:val="24"/>
        </w:rPr>
        <w:t>silvo</w:t>
      </w:r>
      <w:proofErr w:type="spellEnd"/>
      <w:r w:rsidRPr="00DF56A5">
        <w:rPr>
          <w:rFonts w:ascii="Arial" w:eastAsiaTheme="minorHAnsi" w:hAnsi="Arial" w:cs="Arial"/>
          <w:i/>
          <w:iCs/>
          <w:sz w:val="24"/>
          <w:szCs w:val="24"/>
        </w:rPr>
        <w:t>-ambientali di</w:t>
      </w:r>
      <w:r w:rsidR="00D053B0" w:rsidRPr="00DF56A5">
        <w:rPr>
          <w:rFonts w:ascii="Arial" w:eastAsiaTheme="minorHAnsi" w:hAnsi="Arial" w:cs="Arial"/>
          <w:i/>
          <w:iCs/>
          <w:sz w:val="24"/>
          <w:szCs w:val="24"/>
        </w:rPr>
        <w:t xml:space="preserve"> </w:t>
      </w:r>
      <w:r w:rsidRPr="00DF56A5">
        <w:rPr>
          <w:rFonts w:ascii="Arial" w:eastAsiaTheme="minorHAnsi" w:hAnsi="Arial" w:cs="Arial"/>
          <w:i/>
          <w:iCs/>
          <w:sz w:val="24"/>
          <w:szCs w:val="24"/>
        </w:rPr>
        <w:t>cui al comma 8.</w:t>
      </w:r>
    </w:p>
    <w:p w14:paraId="272D367E" w14:textId="533F0A95" w:rsidR="003B17D1" w:rsidRPr="00DF56A5" w:rsidRDefault="003B17D1" w:rsidP="006332E1">
      <w:pPr>
        <w:pStyle w:val="Corpotesto"/>
        <w:ind w:right="45"/>
        <w:jc w:val="both"/>
        <w:rPr>
          <w:rFonts w:ascii="Arial" w:hAnsi="Arial" w:cs="Arial"/>
          <w:sz w:val="24"/>
          <w:szCs w:val="24"/>
        </w:rPr>
      </w:pPr>
    </w:p>
    <w:p w14:paraId="3485C9AD" w14:textId="6D3E58DB" w:rsidR="00367C32" w:rsidRDefault="00367C32" w:rsidP="009D6A40">
      <w:pPr>
        <w:pStyle w:val="Corpotesto"/>
        <w:ind w:right="45" w:firstLine="567"/>
        <w:jc w:val="both"/>
        <w:rPr>
          <w:rFonts w:ascii="Arial" w:hAnsi="Arial" w:cs="Arial"/>
          <w:sz w:val="24"/>
          <w:szCs w:val="24"/>
        </w:rPr>
      </w:pPr>
      <w:r w:rsidRPr="00DF56A5">
        <w:rPr>
          <w:rFonts w:ascii="Arial" w:hAnsi="Arial" w:cs="Arial"/>
          <w:sz w:val="24"/>
          <w:szCs w:val="24"/>
        </w:rPr>
        <w:t xml:space="preserve">Quindi il TUFF presenta un elemento in più rispetto al Collegato Ambientale, in quanto </w:t>
      </w:r>
      <w:r w:rsidR="00FE538D" w:rsidRPr="00DF56A5">
        <w:rPr>
          <w:rFonts w:ascii="Arial" w:hAnsi="Arial" w:cs="Arial"/>
          <w:sz w:val="24"/>
          <w:szCs w:val="24"/>
        </w:rPr>
        <w:t xml:space="preserve">delega alle Regioni lo sviluppo di sistemi di pagamento dei servizi ecosistemici, ad esempio </w:t>
      </w:r>
      <w:r w:rsidR="00674FA9" w:rsidRPr="00DF56A5">
        <w:rPr>
          <w:rFonts w:ascii="Arial" w:hAnsi="Arial" w:cs="Arial"/>
          <w:sz w:val="24"/>
          <w:szCs w:val="24"/>
        </w:rPr>
        <w:t xml:space="preserve">tramite un sistema di crediti, anche se – come si è detto </w:t>
      </w:r>
      <w:r w:rsidR="009D6A40" w:rsidRPr="00DF56A5">
        <w:rPr>
          <w:rFonts w:ascii="Arial" w:hAnsi="Arial" w:cs="Arial"/>
          <w:sz w:val="24"/>
          <w:szCs w:val="24"/>
        </w:rPr>
        <w:t>–</w:t>
      </w:r>
      <w:r w:rsidR="00674FA9" w:rsidRPr="00DF56A5">
        <w:rPr>
          <w:rFonts w:ascii="Arial" w:hAnsi="Arial" w:cs="Arial"/>
          <w:sz w:val="24"/>
          <w:szCs w:val="24"/>
        </w:rPr>
        <w:t xml:space="preserve"> </w:t>
      </w:r>
      <w:r w:rsidR="009D6A40" w:rsidRPr="00DF56A5">
        <w:rPr>
          <w:rFonts w:ascii="Arial" w:hAnsi="Arial" w:cs="Arial"/>
          <w:sz w:val="24"/>
          <w:szCs w:val="24"/>
        </w:rPr>
        <w:t xml:space="preserve">quasi nessuna Regione ha attuato sistemi di questa natura. </w:t>
      </w:r>
      <w:r w:rsidR="008C59C8">
        <w:rPr>
          <w:rFonts w:ascii="Arial" w:hAnsi="Arial" w:cs="Arial"/>
          <w:sz w:val="24"/>
          <w:szCs w:val="24"/>
        </w:rPr>
        <w:t xml:space="preserve">Tuttavia, alla luce del fatto che </w:t>
      </w:r>
      <w:r w:rsidR="00D33ABB">
        <w:rPr>
          <w:rFonts w:ascii="Arial" w:hAnsi="Arial" w:cs="Arial"/>
          <w:sz w:val="24"/>
          <w:szCs w:val="24"/>
        </w:rPr>
        <w:t>le regioni non solo sono delegate alla gestione dei PES ma anche alla Gestione Forestale</w:t>
      </w:r>
      <w:r w:rsidR="00C319F4">
        <w:rPr>
          <w:rFonts w:ascii="Arial" w:hAnsi="Arial" w:cs="Arial"/>
          <w:sz w:val="24"/>
          <w:szCs w:val="24"/>
        </w:rPr>
        <w:t xml:space="preserve"> nonché dell</w:t>
      </w:r>
      <w:r w:rsidR="004E5DB4">
        <w:rPr>
          <w:rFonts w:ascii="Arial" w:hAnsi="Arial" w:cs="Arial"/>
          <w:sz w:val="24"/>
          <w:szCs w:val="24"/>
        </w:rPr>
        <w:t>a Politica Agricola tramite i PSR,</w:t>
      </w:r>
      <w:r w:rsidR="00D33ABB">
        <w:rPr>
          <w:rFonts w:ascii="Arial" w:hAnsi="Arial" w:cs="Arial"/>
          <w:sz w:val="24"/>
          <w:szCs w:val="24"/>
        </w:rPr>
        <w:t xml:space="preserve"> </w:t>
      </w:r>
      <w:r w:rsidR="00F80ED5">
        <w:rPr>
          <w:rFonts w:ascii="Arial" w:hAnsi="Arial" w:cs="Arial"/>
          <w:sz w:val="24"/>
          <w:szCs w:val="24"/>
        </w:rPr>
        <w:t xml:space="preserve">appare naturale che esse possano anche essere l’ente che gestisce le </w:t>
      </w:r>
      <w:r w:rsidR="00C319F4">
        <w:rPr>
          <w:rFonts w:ascii="Arial" w:hAnsi="Arial" w:cs="Arial"/>
          <w:sz w:val="24"/>
          <w:szCs w:val="24"/>
        </w:rPr>
        <w:t>quantità d</w:t>
      </w:r>
      <w:r w:rsidR="004E5DB4">
        <w:rPr>
          <w:rFonts w:ascii="Arial" w:hAnsi="Arial" w:cs="Arial"/>
          <w:sz w:val="24"/>
          <w:szCs w:val="24"/>
        </w:rPr>
        <w:t>i</w:t>
      </w:r>
      <w:r w:rsidR="00C319F4">
        <w:rPr>
          <w:rFonts w:ascii="Arial" w:hAnsi="Arial" w:cs="Arial"/>
          <w:sz w:val="24"/>
          <w:szCs w:val="24"/>
        </w:rPr>
        <w:t xml:space="preserve"> CO</w:t>
      </w:r>
      <w:r w:rsidR="00C319F4" w:rsidRPr="00423453">
        <w:rPr>
          <w:rFonts w:ascii="Arial" w:hAnsi="Arial" w:cs="Arial"/>
          <w:sz w:val="24"/>
          <w:szCs w:val="24"/>
          <w:vertAlign w:val="subscript"/>
        </w:rPr>
        <w:t>2</w:t>
      </w:r>
      <w:r w:rsidR="00C319F4">
        <w:rPr>
          <w:rFonts w:ascii="Arial" w:hAnsi="Arial" w:cs="Arial"/>
          <w:sz w:val="24"/>
          <w:szCs w:val="24"/>
        </w:rPr>
        <w:t xml:space="preserve"> che provengono </w:t>
      </w:r>
      <w:r w:rsidR="004E5DB4">
        <w:rPr>
          <w:rFonts w:ascii="Arial" w:hAnsi="Arial" w:cs="Arial"/>
          <w:sz w:val="24"/>
          <w:szCs w:val="24"/>
        </w:rPr>
        <w:t>d</w:t>
      </w:r>
      <w:r w:rsidR="000D3229">
        <w:rPr>
          <w:rFonts w:ascii="Arial" w:hAnsi="Arial" w:cs="Arial"/>
          <w:sz w:val="24"/>
          <w:szCs w:val="24"/>
        </w:rPr>
        <w:t>a</w:t>
      </w:r>
      <w:r w:rsidR="004E5DB4">
        <w:rPr>
          <w:rFonts w:ascii="Arial" w:hAnsi="Arial" w:cs="Arial"/>
          <w:sz w:val="24"/>
          <w:szCs w:val="24"/>
        </w:rPr>
        <w:t>l settore LULUCF</w:t>
      </w:r>
      <w:r w:rsidR="00CE74F6">
        <w:rPr>
          <w:rFonts w:ascii="Arial" w:hAnsi="Arial" w:cs="Arial"/>
          <w:sz w:val="24"/>
          <w:szCs w:val="24"/>
        </w:rPr>
        <w:t xml:space="preserve">, sia nel quadro dell’ESR sia per la creazione di </w:t>
      </w:r>
      <w:r w:rsidR="00AB5E71">
        <w:rPr>
          <w:rFonts w:ascii="Arial" w:hAnsi="Arial" w:cs="Arial"/>
          <w:sz w:val="24"/>
          <w:szCs w:val="24"/>
        </w:rPr>
        <w:t xml:space="preserve">sistemi di crediti che possano generare </w:t>
      </w:r>
      <w:r w:rsidR="005F37AF">
        <w:rPr>
          <w:rFonts w:ascii="Arial" w:hAnsi="Arial" w:cs="Arial"/>
          <w:sz w:val="24"/>
          <w:szCs w:val="24"/>
        </w:rPr>
        <w:t xml:space="preserve">un ritorno economico che supporti la gestione forestale sostenibile. </w:t>
      </w:r>
    </w:p>
    <w:p w14:paraId="48761657" w14:textId="2BD7BC5B" w:rsidR="002E4952" w:rsidRDefault="002E4952" w:rsidP="009D6A40">
      <w:pPr>
        <w:pStyle w:val="Corpotesto"/>
        <w:ind w:right="45" w:firstLine="567"/>
        <w:jc w:val="both"/>
        <w:rPr>
          <w:rFonts w:ascii="Arial" w:hAnsi="Arial" w:cs="Arial"/>
          <w:sz w:val="24"/>
          <w:szCs w:val="24"/>
        </w:rPr>
      </w:pPr>
      <w:r>
        <w:rPr>
          <w:rFonts w:ascii="Arial" w:hAnsi="Arial" w:cs="Arial"/>
          <w:sz w:val="24"/>
          <w:szCs w:val="24"/>
        </w:rPr>
        <w:t>Questo richiede naturalmente</w:t>
      </w:r>
      <w:r w:rsidR="00957496">
        <w:rPr>
          <w:rFonts w:ascii="Arial" w:hAnsi="Arial" w:cs="Arial"/>
          <w:sz w:val="24"/>
          <w:szCs w:val="24"/>
        </w:rPr>
        <w:t xml:space="preserve"> un accordo tra le Regioni e</w:t>
      </w:r>
      <w:r>
        <w:rPr>
          <w:rFonts w:ascii="Arial" w:hAnsi="Arial" w:cs="Arial"/>
          <w:sz w:val="24"/>
          <w:szCs w:val="24"/>
        </w:rPr>
        <w:t xml:space="preserve"> un atto normativo </w:t>
      </w:r>
      <w:r w:rsidR="00957496">
        <w:rPr>
          <w:rFonts w:ascii="Arial" w:hAnsi="Arial" w:cs="Arial"/>
          <w:sz w:val="24"/>
          <w:szCs w:val="24"/>
        </w:rPr>
        <w:t xml:space="preserve">da sviluppare in </w:t>
      </w:r>
      <w:r>
        <w:rPr>
          <w:rFonts w:ascii="Arial" w:hAnsi="Arial" w:cs="Arial"/>
          <w:sz w:val="24"/>
          <w:szCs w:val="24"/>
        </w:rPr>
        <w:t xml:space="preserve">accordo con il Ministero </w:t>
      </w:r>
      <w:r w:rsidR="00957496">
        <w:rPr>
          <w:rFonts w:ascii="Arial" w:hAnsi="Arial" w:cs="Arial"/>
          <w:sz w:val="24"/>
          <w:szCs w:val="24"/>
        </w:rPr>
        <w:t xml:space="preserve">dell’Ambiente. Una </w:t>
      </w:r>
      <w:r w:rsidR="009918B0">
        <w:rPr>
          <w:rFonts w:ascii="Arial" w:hAnsi="Arial" w:cs="Arial"/>
          <w:sz w:val="24"/>
          <w:szCs w:val="24"/>
        </w:rPr>
        <w:t xml:space="preserve">prima ipotesi su questo tema verrà fatta </w:t>
      </w:r>
      <w:r w:rsidR="00DB4246">
        <w:rPr>
          <w:rFonts w:ascii="Arial" w:hAnsi="Arial" w:cs="Arial"/>
          <w:sz w:val="24"/>
          <w:szCs w:val="24"/>
        </w:rPr>
        <w:t xml:space="preserve">nelle conclusioni. </w:t>
      </w:r>
    </w:p>
    <w:p w14:paraId="06A2485B" w14:textId="1ABE7A31" w:rsidR="00E82A6A" w:rsidRDefault="00E82A6A" w:rsidP="009D6A40">
      <w:pPr>
        <w:pStyle w:val="Corpotesto"/>
        <w:ind w:right="45" w:firstLine="567"/>
        <w:jc w:val="both"/>
        <w:rPr>
          <w:rFonts w:ascii="Arial" w:hAnsi="Arial" w:cs="Arial"/>
          <w:sz w:val="24"/>
          <w:szCs w:val="24"/>
        </w:rPr>
      </w:pPr>
    </w:p>
    <w:p w14:paraId="186266F2" w14:textId="12140DC9" w:rsidR="00E82A6A" w:rsidRDefault="00E82A6A" w:rsidP="009D6A40">
      <w:pPr>
        <w:pStyle w:val="Corpotesto"/>
        <w:ind w:right="45" w:firstLine="567"/>
        <w:jc w:val="both"/>
        <w:rPr>
          <w:rFonts w:ascii="Arial" w:hAnsi="Arial" w:cs="Arial"/>
          <w:sz w:val="24"/>
          <w:szCs w:val="24"/>
        </w:rPr>
      </w:pPr>
    </w:p>
    <w:p w14:paraId="26619084" w14:textId="3FD5451B" w:rsidR="00E82A6A" w:rsidRDefault="00E82A6A" w:rsidP="00E00CEE">
      <w:pPr>
        <w:pStyle w:val="Titolo2"/>
      </w:pPr>
      <w:bookmarkStart w:id="16" w:name="_Toc74265405"/>
      <w:r>
        <w:t xml:space="preserve">La Strategia Forestale Nazionale </w:t>
      </w:r>
      <w:r w:rsidR="00E00CEE">
        <w:t>(in fase di rilascio)</w:t>
      </w:r>
      <w:bookmarkEnd w:id="16"/>
    </w:p>
    <w:p w14:paraId="67968D43" w14:textId="77777777" w:rsidR="00E82A6A" w:rsidRPr="00DF56A5" w:rsidRDefault="00E82A6A" w:rsidP="009D6A40">
      <w:pPr>
        <w:pStyle w:val="Corpotesto"/>
        <w:ind w:right="45" w:firstLine="567"/>
        <w:jc w:val="both"/>
        <w:rPr>
          <w:rFonts w:ascii="Arial" w:hAnsi="Arial" w:cs="Arial"/>
          <w:sz w:val="24"/>
          <w:szCs w:val="24"/>
        </w:rPr>
      </w:pPr>
    </w:p>
    <w:p w14:paraId="2418E229" w14:textId="6897EB04" w:rsidR="00B57681" w:rsidRPr="00DF56A5" w:rsidRDefault="00D926C7" w:rsidP="007C6235">
      <w:pPr>
        <w:pStyle w:val="Corpotesto"/>
        <w:ind w:right="45" w:firstLine="567"/>
        <w:jc w:val="both"/>
        <w:rPr>
          <w:rFonts w:ascii="Arial" w:hAnsi="Arial" w:cs="Arial"/>
          <w:sz w:val="24"/>
          <w:szCs w:val="24"/>
        </w:rPr>
      </w:pPr>
      <w:r w:rsidRPr="00DF56A5">
        <w:rPr>
          <w:rFonts w:ascii="Arial" w:hAnsi="Arial" w:cs="Arial"/>
          <w:sz w:val="24"/>
          <w:szCs w:val="24"/>
        </w:rPr>
        <w:t xml:space="preserve">Un altro elemento di rilievo nel TUFF </w:t>
      </w:r>
      <w:r w:rsidR="00ED3003" w:rsidRPr="00DF56A5">
        <w:rPr>
          <w:rFonts w:ascii="Arial" w:hAnsi="Arial" w:cs="Arial"/>
          <w:sz w:val="24"/>
          <w:szCs w:val="24"/>
        </w:rPr>
        <w:t>è n</w:t>
      </w:r>
      <w:r w:rsidR="009C2019" w:rsidRPr="00DF56A5">
        <w:rPr>
          <w:rFonts w:ascii="Arial" w:hAnsi="Arial" w:cs="Arial"/>
          <w:sz w:val="24"/>
          <w:szCs w:val="24"/>
        </w:rPr>
        <w:t>el primo comma dell’art 6</w:t>
      </w:r>
      <w:r w:rsidR="00ED3003" w:rsidRPr="00DF56A5">
        <w:rPr>
          <w:rFonts w:ascii="Arial" w:hAnsi="Arial" w:cs="Arial"/>
          <w:sz w:val="24"/>
          <w:szCs w:val="24"/>
        </w:rPr>
        <w:t xml:space="preserve">, dove </w:t>
      </w:r>
      <w:r w:rsidR="009C2019" w:rsidRPr="00DF56A5">
        <w:rPr>
          <w:rFonts w:ascii="Arial" w:hAnsi="Arial" w:cs="Arial"/>
          <w:sz w:val="24"/>
          <w:szCs w:val="24"/>
        </w:rPr>
        <w:t xml:space="preserve">viene approvata </w:t>
      </w:r>
      <w:r w:rsidR="00CE72CA" w:rsidRPr="00DF56A5">
        <w:rPr>
          <w:rFonts w:ascii="Arial" w:hAnsi="Arial" w:cs="Arial"/>
          <w:sz w:val="24"/>
          <w:szCs w:val="24"/>
        </w:rPr>
        <w:t xml:space="preserve">la </w:t>
      </w:r>
      <w:r w:rsidR="0081511A" w:rsidRPr="00DF56A5">
        <w:rPr>
          <w:rFonts w:ascii="Arial" w:hAnsi="Arial" w:cs="Arial"/>
          <w:sz w:val="24"/>
          <w:szCs w:val="24"/>
        </w:rPr>
        <w:t>Strategia Forestale Nazionale</w:t>
      </w:r>
      <w:r w:rsidR="00F3198E" w:rsidRPr="00DF56A5">
        <w:rPr>
          <w:rFonts w:ascii="Arial" w:hAnsi="Arial" w:cs="Arial"/>
          <w:sz w:val="24"/>
          <w:szCs w:val="24"/>
        </w:rPr>
        <w:t xml:space="preserve"> (SFN)</w:t>
      </w:r>
      <w:r w:rsidR="0081511A" w:rsidRPr="00DF56A5">
        <w:rPr>
          <w:rFonts w:ascii="Arial" w:hAnsi="Arial" w:cs="Arial"/>
          <w:sz w:val="24"/>
          <w:szCs w:val="24"/>
        </w:rPr>
        <w:t xml:space="preserve">, che è </w:t>
      </w:r>
      <w:r w:rsidR="00B57681" w:rsidRPr="00DF56A5">
        <w:rPr>
          <w:rFonts w:ascii="Arial" w:hAnsi="Arial" w:cs="Arial"/>
          <w:sz w:val="24"/>
          <w:szCs w:val="24"/>
        </w:rPr>
        <w:t xml:space="preserve">in continuità con il </w:t>
      </w:r>
      <w:r w:rsidR="00B57681" w:rsidRPr="00DF56A5">
        <w:rPr>
          <w:rFonts w:ascii="Arial" w:hAnsi="Arial" w:cs="Arial"/>
          <w:i/>
          <w:iCs/>
          <w:sz w:val="24"/>
          <w:szCs w:val="24"/>
        </w:rPr>
        <w:t>Programma quadro per il settore forestale del 2008</w:t>
      </w:r>
      <w:r w:rsidR="00ED6EBC" w:rsidRPr="00DF56A5">
        <w:rPr>
          <w:rStyle w:val="Rimandonotaapidipagina"/>
          <w:rFonts w:ascii="Arial" w:hAnsi="Arial" w:cs="Arial"/>
          <w:i/>
          <w:iCs/>
          <w:sz w:val="24"/>
          <w:szCs w:val="24"/>
        </w:rPr>
        <w:footnoteReference w:id="59"/>
      </w:r>
      <w:r w:rsidR="00B57681" w:rsidRPr="00DF56A5">
        <w:rPr>
          <w:rFonts w:ascii="Arial" w:hAnsi="Arial" w:cs="Arial"/>
          <w:b/>
          <w:bCs/>
          <w:sz w:val="24"/>
          <w:szCs w:val="24"/>
        </w:rPr>
        <w:t xml:space="preserve"> </w:t>
      </w:r>
      <w:r w:rsidR="00D64870" w:rsidRPr="00DF56A5">
        <w:rPr>
          <w:rFonts w:ascii="Arial" w:hAnsi="Arial" w:cs="Arial"/>
          <w:sz w:val="24"/>
          <w:szCs w:val="24"/>
        </w:rPr>
        <w:t xml:space="preserve">e con la </w:t>
      </w:r>
      <w:r w:rsidR="00B57681" w:rsidRPr="00DF56A5">
        <w:rPr>
          <w:rFonts w:ascii="Arial" w:hAnsi="Arial" w:cs="Arial"/>
          <w:sz w:val="24"/>
          <w:szCs w:val="24"/>
        </w:rPr>
        <w:t>Strategia forestale dell'UE (COM (2013) n. 659).</w:t>
      </w:r>
      <w:r w:rsidR="000A7AC6" w:rsidRPr="00DF56A5">
        <w:rPr>
          <w:rFonts w:ascii="Arial" w:hAnsi="Arial" w:cs="Arial"/>
          <w:sz w:val="24"/>
          <w:szCs w:val="24"/>
        </w:rPr>
        <w:t xml:space="preserve"> </w:t>
      </w:r>
      <w:r w:rsidR="00424189" w:rsidRPr="00DF56A5">
        <w:rPr>
          <w:rFonts w:ascii="Arial" w:hAnsi="Arial" w:cs="Arial"/>
          <w:sz w:val="24"/>
          <w:szCs w:val="24"/>
        </w:rPr>
        <w:t xml:space="preserve">La SFN è un documento che </w:t>
      </w:r>
      <w:r w:rsidR="00C4701F" w:rsidRPr="00DF56A5">
        <w:rPr>
          <w:rFonts w:ascii="Arial" w:hAnsi="Arial" w:cs="Arial"/>
          <w:sz w:val="24"/>
          <w:szCs w:val="24"/>
        </w:rPr>
        <w:t xml:space="preserve">recepisce la gran parte delle tematiche connesse al </w:t>
      </w:r>
      <w:r w:rsidR="00C4701F" w:rsidRPr="00DF56A5">
        <w:rPr>
          <w:rFonts w:ascii="Arial" w:hAnsi="Arial" w:cs="Arial"/>
          <w:sz w:val="24"/>
          <w:szCs w:val="24"/>
        </w:rPr>
        <w:lastRenderedPageBreak/>
        <w:t>clima del settore LULUCF</w:t>
      </w:r>
      <w:r w:rsidR="00D819D2" w:rsidRPr="00DF56A5">
        <w:rPr>
          <w:rFonts w:ascii="Arial" w:hAnsi="Arial" w:cs="Arial"/>
          <w:sz w:val="24"/>
          <w:szCs w:val="24"/>
        </w:rPr>
        <w:t xml:space="preserve"> e fornisce una serie di indicazioni utili per gli sviluppi del progetto</w:t>
      </w:r>
      <w:r w:rsidR="005E4426" w:rsidRPr="00DF56A5">
        <w:rPr>
          <w:rFonts w:ascii="Arial" w:hAnsi="Arial" w:cs="Arial"/>
          <w:sz w:val="24"/>
          <w:szCs w:val="24"/>
        </w:rPr>
        <w:t>, soprattutto per le policy regionali. Queste però dovranno essere sviluppate più in dettaglio nel</w:t>
      </w:r>
      <w:r w:rsidR="00866B19" w:rsidRPr="00DF56A5">
        <w:rPr>
          <w:rFonts w:ascii="Arial" w:hAnsi="Arial" w:cs="Arial"/>
          <w:sz w:val="24"/>
          <w:szCs w:val="24"/>
        </w:rPr>
        <w:t xml:space="preserve">le Azioni C6 e C7 e quindi in questa analisi di </w:t>
      </w:r>
      <w:r w:rsidR="00F75894" w:rsidRPr="00DF56A5">
        <w:rPr>
          <w:rFonts w:ascii="Arial" w:hAnsi="Arial" w:cs="Arial"/>
          <w:sz w:val="24"/>
          <w:szCs w:val="24"/>
        </w:rPr>
        <w:t>c</w:t>
      </w:r>
      <w:r w:rsidR="00866B19" w:rsidRPr="00DF56A5">
        <w:rPr>
          <w:rFonts w:ascii="Arial" w:hAnsi="Arial" w:cs="Arial"/>
          <w:sz w:val="24"/>
          <w:szCs w:val="24"/>
        </w:rPr>
        <w:t>ross-</w:t>
      </w:r>
      <w:proofErr w:type="spellStart"/>
      <w:r w:rsidR="00F75894" w:rsidRPr="00DF56A5">
        <w:rPr>
          <w:rFonts w:ascii="Arial" w:hAnsi="Arial" w:cs="Arial"/>
          <w:sz w:val="24"/>
          <w:szCs w:val="24"/>
        </w:rPr>
        <w:t>s</w:t>
      </w:r>
      <w:r w:rsidR="00866B19" w:rsidRPr="00DF56A5">
        <w:rPr>
          <w:rFonts w:ascii="Arial" w:hAnsi="Arial" w:cs="Arial"/>
          <w:sz w:val="24"/>
          <w:szCs w:val="24"/>
        </w:rPr>
        <w:t>ection</w:t>
      </w:r>
      <w:proofErr w:type="spellEnd"/>
      <w:r w:rsidR="00866B19" w:rsidRPr="00DF56A5">
        <w:rPr>
          <w:rFonts w:ascii="Arial" w:hAnsi="Arial" w:cs="Arial"/>
          <w:sz w:val="24"/>
          <w:szCs w:val="24"/>
        </w:rPr>
        <w:t xml:space="preserve"> possono solo essere accennate. </w:t>
      </w:r>
    </w:p>
    <w:p w14:paraId="6D5DF189" w14:textId="2FB32384" w:rsidR="00F3198E" w:rsidRPr="00DF56A5" w:rsidRDefault="00F3198E" w:rsidP="00D56A23">
      <w:pPr>
        <w:pStyle w:val="Corpotesto"/>
        <w:ind w:right="45" w:firstLine="567"/>
        <w:jc w:val="both"/>
        <w:rPr>
          <w:rFonts w:ascii="Arial" w:hAnsi="Arial" w:cs="Arial"/>
          <w:sz w:val="24"/>
          <w:szCs w:val="24"/>
        </w:rPr>
      </w:pPr>
      <w:r w:rsidRPr="00DF56A5">
        <w:rPr>
          <w:rFonts w:ascii="Arial" w:hAnsi="Arial" w:cs="Arial"/>
          <w:sz w:val="24"/>
          <w:szCs w:val="24"/>
        </w:rPr>
        <w:t>L’ultima versione della SFN (</w:t>
      </w:r>
      <w:proofErr w:type="gramStart"/>
      <w:r w:rsidRPr="00DF56A5">
        <w:rPr>
          <w:rFonts w:ascii="Arial" w:hAnsi="Arial" w:cs="Arial"/>
          <w:sz w:val="24"/>
          <w:szCs w:val="24"/>
        </w:rPr>
        <w:t>Febbraio</w:t>
      </w:r>
      <w:proofErr w:type="gramEnd"/>
      <w:r w:rsidRPr="00DF56A5">
        <w:rPr>
          <w:rFonts w:ascii="Arial" w:hAnsi="Arial" w:cs="Arial"/>
          <w:sz w:val="24"/>
          <w:szCs w:val="24"/>
        </w:rPr>
        <w:t xml:space="preserve"> 2020)</w:t>
      </w:r>
      <w:r w:rsidR="009413F2" w:rsidRPr="00DF56A5">
        <w:rPr>
          <w:rStyle w:val="Rimandonotaapidipagina"/>
          <w:rFonts w:ascii="Arial" w:hAnsi="Arial" w:cs="Arial"/>
          <w:sz w:val="24"/>
          <w:szCs w:val="24"/>
        </w:rPr>
        <w:footnoteReference w:id="60"/>
      </w:r>
      <w:r w:rsidR="009328E4" w:rsidRPr="00DF56A5">
        <w:rPr>
          <w:rFonts w:ascii="Arial" w:hAnsi="Arial" w:cs="Arial"/>
          <w:sz w:val="24"/>
          <w:szCs w:val="24"/>
        </w:rPr>
        <w:t xml:space="preserve">, riconosce esplicitamente il ruolo dei Regolamenti 841/2018 e </w:t>
      </w:r>
      <w:r w:rsidR="00C87363" w:rsidRPr="00DF56A5">
        <w:rPr>
          <w:rFonts w:ascii="Arial" w:hAnsi="Arial" w:cs="Arial"/>
          <w:sz w:val="24"/>
          <w:szCs w:val="24"/>
        </w:rPr>
        <w:t>8</w:t>
      </w:r>
      <w:r w:rsidR="009328E4" w:rsidRPr="00DF56A5">
        <w:rPr>
          <w:rFonts w:ascii="Arial" w:hAnsi="Arial" w:cs="Arial"/>
          <w:sz w:val="24"/>
          <w:szCs w:val="24"/>
        </w:rPr>
        <w:t>42/2018</w:t>
      </w:r>
      <w:r w:rsidR="001E47C6" w:rsidRPr="00DF56A5">
        <w:rPr>
          <w:rFonts w:ascii="Arial" w:hAnsi="Arial" w:cs="Arial"/>
          <w:sz w:val="24"/>
          <w:szCs w:val="24"/>
        </w:rPr>
        <w:t xml:space="preserve"> </w:t>
      </w:r>
      <w:r w:rsidR="00D108C0">
        <w:rPr>
          <w:rFonts w:ascii="Arial" w:hAnsi="Arial" w:cs="Arial"/>
          <w:sz w:val="24"/>
          <w:szCs w:val="24"/>
        </w:rPr>
        <w:t>e</w:t>
      </w:r>
      <w:r w:rsidR="001E47C6" w:rsidRPr="00DF56A5">
        <w:rPr>
          <w:rFonts w:ascii="Arial" w:hAnsi="Arial" w:cs="Arial"/>
          <w:sz w:val="24"/>
          <w:szCs w:val="24"/>
        </w:rPr>
        <w:t>, più</w:t>
      </w:r>
      <w:r w:rsidR="00D108C0">
        <w:rPr>
          <w:rFonts w:ascii="Arial" w:hAnsi="Arial" w:cs="Arial"/>
          <w:sz w:val="24"/>
          <w:szCs w:val="24"/>
        </w:rPr>
        <w:t xml:space="preserve"> in</w:t>
      </w:r>
      <w:r w:rsidR="001E47C6" w:rsidRPr="00DF56A5">
        <w:rPr>
          <w:rFonts w:ascii="Arial" w:hAnsi="Arial" w:cs="Arial"/>
          <w:sz w:val="24"/>
          <w:szCs w:val="24"/>
        </w:rPr>
        <w:t xml:space="preserve"> generale, che</w:t>
      </w:r>
      <w:r w:rsidR="00D108C0">
        <w:rPr>
          <w:rFonts w:ascii="Arial" w:hAnsi="Arial" w:cs="Arial"/>
          <w:sz w:val="24"/>
          <w:szCs w:val="24"/>
        </w:rPr>
        <w:t xml:space="preserve"> il</w:t>
      </w:r>
      <w:r w:rsidR="001E47C6" w:rsidRPr="00DF56A5">
        <w:rPr>
          <w:rFonts w:ascii="Arial" w:hAnsi="Arial" w:cs="Arial"/>
          <w:sz w:val="24"/>
          <w:szCs w:val="24"/>
        </w:rPr>
        <w:t xml:space="preserve"> settore LULUCF</w:t>
      </w:r>
      <w:r w:rsidR="00E12443" w:rsidRPr="00DF56A5">
        <w:rPr>
          <w:rFonts w:ascii="Arial" w:hAnsi="Arial" w:cs="Arial"/>
          <w:sz w:val="24"/>
          <w:szCs w:val="24"/>
        </w:rPr>
        <w:t xml:space="preserve"> è stato</w:t>
      </w:r>
      <w:r w:rsidR="001E47C6" w:rsidRPr="00DF56A5">
        <w:rPr>
          <w:rFonts w:ascii="Arial" w:hAnsi="Arial" w:cs="Arial"/>
          <w:sz w:val="24"/>
          <w:szCs w:val="24"/>
        </w:rPr>
        <w:t xml:space="preserve"> inclus</w:t>
      </w:r>
      <w:r w:rsidR="00E12443" w:rsidRPr="00DF56A5">
        <w:rPr>
          <w:rFonts w:ascii="Arial" w:hAnsi="Arial" w:cs="Arial"/>
          <w:sz w:val="24"/>
          <w:szCs w:val="24"/>
        </w:rPr>
        <w:t>o</w:t>
      </w:r>
      <w:r w:rsidR="001E47C6" w:rsidRPr="00DF56A5">
        <w:rPr>
          <w:rFonts w:ascii="Arial" w:hAnsi="Arial" w:cs="Arial"/>
          <w:sz w:val="24"/>
          <w:szCs w:val="24"/>
        </w:rPr>
        <w:t xml:space="preserve"> dall’Italia nella Strategia di decarbonizzazione a lungo termine </w:t>
      </w:r>
      <w:r w:rsidR="00D108C0">
        <w:rPr>
          <w:rFonts w:ascii="Arial" w:hAnsi="Arial" w:cs="Arial"/>
          <w:sz w:val="24"/>
          <w:szCs w:val="24"/>
        </w:rPr>
        <w:t>individuando</w:t>
      </w:r>
      <w:r w:rsidR="001E47C6" w:rsidRPr="00DF56A5">
        <w:rPr>
          <w:rFonts w:ascii="Arial" w:hAnsi="Arial" w:cs="Arial"/>
          <w:sz w:val="24"/>
          <w:szCs w:val="24"/>
        </w:rPr>
        <w:t xml:space="preserve"> i possibili percorsi per la “neutralità climatica” entro il 2050, in linea con gli orientamenti politici europei e nazionali. </w:t>
      </w:r>
    </w:p>
    <w:p w14:paraId="0A3E9580" w14:textId="561BE627" w:rsidR="00990F2C" w:rsidRPr="00DF56A5" w:rsidRDefault="00462DB2" w:rsidP="00D56A23">
      <w:pPr>
        <w:pStyle w:val="Corpotesto"/>
        <w:ind w:right="45" w:firstLine="567"/>
        <w:jc w:val="both"/>
        <w:rPr>
          <w:rFonts w:ascii="Arial" w:hAnsi="Arial" w:cs="Arial"/>
          <w:sz w:val="24"/>
          <w:szCs w:val="24"/>
        </w:rPr>
      </w:pPr>
      <w:r w:rsidRPr="00DF56A5">
        <w:rPr>
          <w:rFonts w:ascii="Arial" w:hAnsi="Arial" w:cs="Arial"/>
          <w:sz w:val="24"/>
          <w:szCs w:val="24"/>
        </w:rPr>
        <w:t xml:space="preserve">L’obbiettivo </w:t>
      </w:r>
      <w:r w:rsidR="00EB50B1" w:rsidRPr="00DF56A5">
        <w:rPr>
          <w:rFonts w:ascii="Arial" w:hAnsi="Arial" w:cs="Arial"/>
          <w:sz w:val="24"/>
          <w:szCs w:val="24"/>
        </w:rPr>
        <w:t>principale</w:t>
      </w:r>
      <w:r w:rsidRPr="00DF56A5">
        <w:rPr>
          <w:rFonts w:ascii="Arial" w:hAnsi="Arial" w:cs="Arial"/>
          <w:sz w:val="24"/>
          <w:szCs w:val="24"/>
        </w:rPr>
        <w:t xml:space="preserve"> della SFN è quello di</w:t>
      </w:r>
      <w:r w:rsidR="00EB50B1" w:rsidRPr="00DF56A5">
        <w:rPr>
          <w:rFonts w:ascii="Arial" w:hAnsi="Arial" w:cs="Arial"/>
          <w:sz w:val="24"/>
          <w:szCs w:val="24"/>
        </w:rPr>
        <w:t xml:space="preserve"> promuove</w:t>
      </w:r>
      <w:r w:rsidRPr="00DF56A5">
        <w:rPr>
          <w:rFonts w:ascii="Arial" w:hAnsi="Arial" w:cs="Arial"/>
          <w:sz w:val="24"/>
          <w:szCs w:val="24"/>
        </w:rPr>
        <w:t>re</w:t>
      </w:r>
      <w:r w:rsidR="00EB50B1" w:rsidRPr="00DF56A5">
        <w:rPr>
          <w:rFonts w:ascii="Arial" w:hAnsi="Arial" w:cs="Arial"/>
          <w:sz w:val="24"/>
          <w:szCs w:val="24"/>
        </w:rPr>
        <w:t xml:space="preserve"> l’integrazione tra conservazione della biodiversità</w:t>
      </w:r>
      <w:r w:rsidRPr="00DF56A5">
        <w:rPr>
          <w:rFonts w:ascii="Arial" w:hAnsi="Arial" w:cs="Arial"/>
          <w:sz w:val="24"/>
          <w:szCs w:val="24"/>
        </w:rPr>
        <w:t>,</w:t>
      </w:r>
      <w:r w:rsidR="00EB50B1" w:rsidRPr="00DF56A5">
        <w:rPr>
          <w:rFonts w:ascii="Arial" w:hAnsi="Arial" w:cs="Arial"/>
          <w:sz w:val="24"/>
          <w:szCs w:val="24"/>
        </w:rPr>
        <w:t xml:space="preserve"> </w:t>
      </w:r>
      <w:r w:rsidR="00EB50B1" w:rsidRPr="00DF56A5">
        <w:rPr>
          <w:rFonts w:ascii="Arial" w:hAnsi="Arial" w:cs="Arial"/>
          <w:b/>
          <w:bCs/>
          <w:sz w:val="24"/>
          <w:szCs w:val="24"/>
        </w:rPr>
        <w:t xml:space="preserve">Gestione Forestale Sostenibile </w:t>
      </w:r>
      <w:r w:rsidR="00EB50B1" w:rsidRPr="00DF56A5">
        <w:rPr>
          <w:rFonts w:ascii="Arial" w:hAnsi="Arial" w:cs="Arial"/>
          <w:sz w:val="24"/>
          <w:szCs w:val="24"/>
        </w:rPr>
        <w:t xml:space="preserve">e di </w:t>
      </w:r>
      <w:r w:rsidR="00EB50B1" w:rsidRPr="00DF56A5">
        <w:rPr>
          <w:rFonts w:ascii="Arial" w:hAnsi="Arial" w:cs="Arial"/>
          <w:b/>
          <w:bCs/>
          <w:sz w:val="24"/>
          <w:szCs w:val="24"/>
        </w:rPr>
        <w:t xml:space="preserve">Servizi Ecosistemici materiali e immateriali dalle foreste </w:t>
      </w:r>
      <w:r w:rsidR="00EB50B1" w:rsidRPr="00DF56A5">
        <w:rPr>
          <w:rFonts w:ascii="Arial" w:hAnsi="Arial" w:cs="Arial"/>
          <w:sz w:val="24"/>
          <w:szCs w:val="24"/>
        </w:rPr>
        <w:t>(pag. 13</w:t>
      </w:r>
      <w:r w:rsidR="009413F2" w:rsidRPr="00DF56A5">
        <w:rPr>
          <w:rFonts w:ascii="Arial" w:hAnsi="Arial" w:cs="Arial"/>
          <w:sz w:val="24"/>
          <w:szCs w:val="24"/>
        </w:rPr>
        <w:t xml:space="preserve"> SFN</w:t>
      </w:r>
      <w:r w:rsidR="00EB50B1" w:rsidRPr="00DF56A5">
        <w:rPr>
          <w:rFonts w:ascii="Arial" w:hAnsi="Arial" w:cs="Arial"/>
          <w:sz w:val="24"/>
          <w:szCs w:val="24"/>
        </w:rPr>
        <w:t>)</w:t>
      </w:r>
      <w:r w:rsidR="00892179" w:rsidRPr="00DF56A5">
        <w:rPr>
          <w:rFonts w:ascii="Arial" w:hAnsi="Arial" w:cs="Arial"/>
          <w:sz w:val="24"/>
          <w:szCs w:val="24"/>
        </w:rPr>
        <w:t xml:space="preserve"> ed esplicita che i</w:t>
      </w:r>
      <w:r w:rsidR="00990F2C" w:rsidRPr="00DF56A5">
        <w:rPr>
          <w:rFonts w:ascii="Arial" w:hAnsi="Arial" w:cs="Arial"/>
          <w:sz w:val="24"/>
          <w:szCs w:val="24"/>
        </w:rPr>
        <w:t xml:space="preserve">l perseguimento degli </w:t>
      </w:r>
      <w:r w:rsidR="00990F2C" w:rsidRPr="00DF56A5">
        <w:rPr>
          <w:rFonts w:ascii="Arial" w:hAnsi="Arial" w:cs="Arial"/>
          <w:b/>
          <w:bCs/>
          <w:sz w:val="24"/>
          <w:szCs w:val="24"/>
        </w:rPr>
        <w:t xml:space="preserve">Obiettivi generali </w:t>
      </w:r>
      <w:r w:rsidR="00990F2C" w:rsidRPr="00DF56A5">
        <w:rPr>
          <w:rFonts w:ascii="Arial" w:hAnsi="Arial" w:cs="Arial"/>
          <w:sz w:val="24"/>
          <w:szCs w:val="24"/>
        </w:rPr>
        <w:t xml:space="preserve">trova attuazioni prioritariamente nei </w:t>
      </w:r>
      <w:r w:rsidR="00990F2C" w:rsidRPr="00DF56A5">
        <w:rPr>
          <w:rFonts w:ascii="Arial" w:hAnsi="Arial" w:cs="Arial"/>
          <w:b/>
          <w:bCs/>
          <w:sz w:val="24"/>
          <w:szCs w:val="24"/>
        </w:rPr>
        <w:t>Programmi Forestali Regionali</w:t>
      </w:r>
      <w:r w:rsidR="00892179" w:rsidRPr="00DF56A5">
        <w:rPr>
          <w:rStyle w:val="Rimandonotaapidipagina"/>
          <w:rFonts w:ascii="Arial" w:hAnsi="Arial" w:cs="Arial"/>
          <w:b/>
          <w:bCs/>
          <w:sz w:val="24"/>
          <w:szCs w:val="24"/>
        </w:rPr>
        <w:footnoteReference w:id="61"/>
      </w:r>
      <w:r w:rsidR="0089461B" w:rsidRPr="00DF56A5">
        <w:rPr>
          <w:rFonts w:ascii="Arial" w:hAnsi="Arial" w:cs="Arial"/>
          <w:sz w:val="24"/>
          <w:szCs w:val="24"/>
        </w:rPr>
        <w:t xml:space="preserve">. </w:t>
      </w:r>
    </w:p>
    <w:p w14:paraId="07593F7C" w14:textId="44748844" w:rsidR="00C9480D" w:rsidRPr="00DF56A5" w:rsidRDefault="00C9480D" w:rsidP="00D56A23">
      <w:pPr>
        <w:pStyle w:val="Corpotesto"/>
        <w:ind w:right="45" w:firstLine="567"/>
        <w:jc w:val="both"/>
        <w:rPr>
          <w:rFonts w:ascii="Arial" w:hAnsi="Arial" w:cs="Arial"/>
          <w:sz w:val="24"/>
          <w:szCs w:val="24"/>
        </w:rPr>
      </w:pPr>
      <w:r w:rsidRPr="00DF56A5">
        <w:rPr>
          <w:rFonts w:ascii="Arial" w:hAnsi="Arial" w:cs="Arial"/>
          <w:sz w:val="24"/>
          <w:szCs w:val="24"/>
        </w:rPr>
        <w:t xml:space="preserve">Nel documento </w:t>
      </w:r>
      <w:r w:rsidR="00F75894" w:rsidRPr="00DF56A5">
        <w:rPr>
          <w:rFonts w:ascii="Arial" w:hAnsi="Arial" w:cs="Arial"/>
          <w:sz w:val="24"/>
          <w:szCs w:val="24"/>
        </w:rPr>
        <w:t>si elencano una serie di azioni operative, delle quali alcune</w:t>
      </w:r>
      <w:r w:rsidR="00981196" w:rsidRPr="00DF56A5">
        <w:rPr>
          <w:rFonts w:ascii="Arial" w:hAnsi="Arial" w:cs="Arial"/>
          <w:sz w:val="24"/>
          <w:szCs w:val="24"/>
        </w:rPr>
        <w:t xml:space="preserve"> è utile citarle perché sono strettamente connesse alle attività progettuali. </w:t>
      </w:r>
    </w:p>
    <w:p w14:paraId="1DFA07A0" w14:textId="77777777" w:rsidR="00990F2C" w:rsidRPr="00DF56A5" w:rsidRDefault="00990F2C" w:rsidP="00990F2C">
      <w:pPr>
        <w:pStyle w:val="Corpotesto"/>
        <w:ind w:right="45"/>
        <w:jc w:val="both"/>
        <w:rPr>
          <w:rFonts w:ascii="Arial" w:hAnsi="Arial" w:cs="Arial"/>
          <w:sz w:val="24"/>
          <w:szCs w:val="24"/>
        </w:rPr>
      </w:pPr>
    </w:p>
    <w:p w14:paraId="1C033A7A" w14:textId="77777777" w:rsidR="00990F2C" w:rsidRPr="00DF56A5" w:rsidRDefault="00990F2C" w:rsidP="00990F2C">
      <w:pPr>
        <w:pStyle w:val="Corpotesto"/>
        <w:ind w:right="45"/>
        <w:jc w:val="both"/>
        <w:rPr>
          <w:rFonts w:ascii="Arial" w:hAnsi="Arial" w:cs="Arial"/>
          <w:b/>
          <w:bCs/>
          <w:sz w:val="24"/>
          <w:szCs w:val="24"/>
        </w:rPr>
      </w:pPr>
      <w:r w:rsidRPr="00DF56A5">
        <w:rPr>
          <w:rFonts w:ascii="Arial" w:hAnsi="Arial" w:cs="Arial"/>
          <w:b/>
          <w:bCs/>
          <w:sz w:val="24"/>
          <w:szCs w:val="24"/>
        </w:rPr>
        <w:t>Azioni Operative relative ai 3 Obiettivi generali della SFN – POLITICHE REGIONALI</w:t>
      </w:r>
    </w:p>
    <w:p w14:paraId="42E71A62" w14:textId="77777777" w:rsidR="00990F2C" w:rsidRPr="00DF56A5" w:rsidRDefault="00990F2C" w:rsidP="00076117">
      <w:pPr>
        <w:pStyle w:val="Paragrafoelenco"/>
        <w:widowControl/>
        <w:numPr>
          <w:ilvl w:val="0"/>
          <w:numId w:val="30"/>
        </w:numPr>
        <w:adjustRightInd w:val="0"/>
        <w:jc w:val="both"/>
        <w:rPr>
          <w:rFonts w:ascii="Arial" w:eastAsiaTheme="minorHAnsi" w:hAnsi="Arial" w:cs="Arial"/>
          <w:color w:val="000000"/>
          <w:sz w:val="24"/>
          <w:szCs w:val="24"/>
        </w:rPr>
      </w:pPr>
      <w:r w:rsidRPr="00DF56A5">
        <w:rPr>
          <w:rFonts w:ascii="Arial" w:eastAsiaTheme="minorHAnsi" w:hAnsi="Arial" w:cs="Arial"/>
          <w:color w:val="000000"/>
          <w:sz w:val="24"/>
          <w:szCs w:val="24"/>
        </w:rPr>
        <w:t xml:space="preserve">Programmazione e pianificazione forestale e politiche di gestione del territorio e del paesaggio </w:t>
      </w:r>
    </w:p>
    <w:p w14:paraId="36EC070E" w14:textId="77777777" w:rsidR="00990F2C" w:rsidRPr="00DF56A5" w:rsidRDefault="00990F2C" w:rsidP="00076117">
      <w:pPr>
        <w:pStyle w:val="Paragrafoelenco"/>
        <w:widowControl/>
        <w:numPr>
          <w:ilvl w:val="0"/>
          <w:numId w:val="30"/>
        </w:numPr>
        <w:adjustRightInd w:val="0"/>
        <w:jc w:val="both"/>
        <w:rPr>
          <w:rFonts w:ascii="Arial" w:eastAsiaTheme="minorHAnsi" w:hAnsi="Arial" w:cs="Arial"/>
          <w:color w:val="000000"/>
          <w:sz w:val="24"/>
          <w:szCs w:val="24"/>
        </w:rPr>
      </w:pPr>
      <w:r w:rsidRPr="00DF56A5">
        <w:rPr>
          <w:rFonts w:ascii="Arial" w:eastAsiaTheme="minorHAnsi" w:hAnsi="Arial" w:cs="Arial"/>
          <w:color w:val="000000"/>
          <w:sz w:val="24"/>
          <w:szCs w:val="24"/>
        </w:rPr>
        <w:t xml:space="preserve">Servizi e pagamenti ecosistemici </w:t>
      </w:r>
    </w:p>
    <w:p w14:paraId="17D77BAE" w14:textId="77777777" w:rsidR="00990F2C" w:rsidRPr="00DF56A5" w:rsidRDefault="00990F2C" w:rsidP="00076117">
      <w:pPr>
        <w:pStyle w:val="Paragrafoelenco"/>
        <w:widowControl/>
        <w:numPr>
          <w:ilvl w:val="0"/>
          <w:numId w:val="30"/>
        </w:numPr>
        <w:adjustRightInd w:val="0"/>
        <w:jc w:val="both"/>
        <w:rPr>
          <w:rFonts w:ascii="Arial" w:eastAsiaTheme="minorHAnsi" w:hAnsi="Arial" w:cs="Arial"/>
          <w:color w:val="000000"/>
          <w:sz w:val="24"/>
          <w:szCs w:val="24"/>
        </w:rPr>
      </w:pPr>
      <w:r w:rsidRPr="00DF56A5">
        <w:rPr>
          <w:rFonts w:ascii="Arial" w:eastAsiaTheme="minorHAnsi" w:hAnsi="Arial" w:cs="Arial"/>
          <w:color w:val="000000"/>
          <w:sz w:val="24"/>
          <w:szCs w:val="24"/>
        </w:rPr>
        <w:t xml:space="preserve">Mitigazione e adattamento ai cambiamenti climatici </w:t>
      </w:r>
    </w:p>
    <w:p w14:paraId="40B082A6" w14:textId="77777777" w:rsidR="00990F2C" w:rsidRPr="00DF56A5" w:rsidRDefault="00990F2C" w:rsidP="00076117">
      <w:pPr>
        <w:pStyle w:val="Paragrafoelenco"/>
        <w:widowControl/>
        <w:numPr>
          <w:ilvl w:val="0"/>
          <w:numId w:val="30"/>
        </w:numPr>
        <w:adjustRightInd w:val="0"/>
        <w:jc w:val="both"/>
        <w:rPr>
          <w:rFonts w:ascii="Arial" w:eastAsiaTheme="minorHAnsi" w:hAnsi="Arial" w:cs="Arial"/>
          <w:color w:val="000000"/>
          <w:sz w:val="24"/>
          <w:szCs w:val="24"/>
        </w:rPr>
      </w:pPr>
      <w:r w:rsidRPr="00DF56A5">
        <w:rPr>
          <w:rFonts w:ascii="Arial" w:eastAsiaTheme="minorHAnsi" w:hAnsi="Arial" w:cs="Arial"/>
          <w:color w:val="000000"/>
          <w:sz w:val="24"/>
          <w:szCs w:val="24"/>
        </w:rPr>
        <w:t xml:space="preserve">Risorse forestali danneggiate e prevenzione dei rischi naturali e antropici </w:t>
      </w:r>
    </w:p>
    <w:p w14:paraId="4E90FC3C" w14:textId="77777777" w:rsidR="00990F2C" w:rsidRPr="00DF56A5" w:rsidRDefault="00990F2C" w:rsidP="00076117">
      <w:pPr>
        <w:pStyle w:val="Paragrafoelenco"/>
        <w:widowControl/>
        <w:numPr>
          <w:ilvl w:val="0"/>
          <w:numId w:val="30"/>
        </w:numPr>
        <w:adjustRightInd w:val="0"/>
        <w:jc w:val="both"/>
        <w:rPr>
          <w:rFonts w:ascii="Arial" w:eastAsiaTheme="minorHAnsi" w:hAnsi="Arial" w:cs="Arial"/>
          <w:color w:val="000000"/>
          <w:sz w:val="24"/>
          <w:szCs w:val="24"/>
        </w:rPr>
      </w:pPr>
      <w:r w:rsidRPr="00DF56A5">
        <w:rPr>
          <w:rFonts w:ascii="Arial" w:eastAsiaTheme="minorHAnsi" w:hAnsi="Arial" w:cs="Arial"/>
          <w:color w:val="000000"/>
          <w:sz w:val="24"/>
          <w:szCs w:val="24"/>
        </w:rPr>
        <w:t xml:space="preserve">Gestione Forestale Sostenibile </w:t>
      </w:r>
    </w:p>
    <w:p w14:paraId="2B297326" w14:textId="77777777" w:rsidR="00990F2C" w:rsidRPr="00DF56A5" w:rsidRDefault="00990F2C" w:rsidP="00990F2C">
      <w:pPr>
        <w:pStyle w:val="Corpotesto"/>
        <w:ind w:right="45"/>
        <w:jc w:val="both"/>
        <w:rPr>
          <w:rFonts w:ascii="Arial" w:hAnsi="Arial" w:cs="Arial"/>
          <w:sz w:val="24"/>
          <w:szCs w:val="24"/>
        </w:rPr>
      </w:pPr>
    </w:p>
    <w:p w14:paraId="70333B1D" w14:textId="77777777" w:rsidR="00990F2C" w:rsidRPr="00DF56A5" w:rsidRDefault="00990F2C" w:rsidP="00990F2C">
      <w:pPr>
        <w:pStyle w:val="Corpotesto"/>
        <w:ind w:right="45"/>
        <w:jc w:val="both"/>
        <w:rPr>
          <w:rFonts w:ascii="Arial" w:hAnsi="Arial" w:cs="Arial"/>
          <w:b/>
          <w:bCs/>
          <w:sz w:val="24"/>
          <w:szCs w:val="24"/>
        </w:rPr>
      </w:pPr>
      <w:r w:rsidRPr="00DF56A5">
        <w:rPr>
          <w:rFonts w:ascii="Arial" w:hAnsi="Arial" w:cs="Arial"/>
          <w:b/>
          <w:bCs/>
          <w:sz w:val="24"/>
          <w:szCs w:val="24"/>
        </w:rPr>
        <w:t>Le Azioni Specifiche</w:t>
      </w:r>
    </w:p>
    <w:p w14:paraId="786FBE38" w14:textId="77777777" w:rsidR="00990F2C" w:rsidRPr="00DB4246" w:rsidRDefault="00990F2C" w:rsidP="00DB4246">
      <w:pPr>
        <w:pStyle w:val="Paragrafoelenco"/>
        <w:widowControl/>
        <w:numPr>
          <w:ilvl w:val="0"/>
          <w:numId w:val="47"/>
        </w:numPr>
        <w:adjustRightInd w:val="0"/>
        <w:jc w:val="both"/>
        <w:rPr>
          <w:rFonts w:ascii="Arial" w:eastAsiaTheme="minorHAnsi" w:hAnsi="Arial" w:cs="Arial"/>
          <w:color w:val="000000"/>
          <w:sz w:val="24"/>
          <w:szCs w:val="24"/>
        </w:rPr>
      </w:pPr>
      <w:r w:rsidRPr="00DB4246">
        <w:rPr>
          <w:rFonts w:ascii="Arial" w:eastAsiaTheme="minorHAnsi" w:hAnsi="Arial" w:cs="Arial"/>
          <w:color w:val="000000"/>
          <w:sz w:val="24"/>
          <w:szCs w:val="24"/>
        </w:rPr>
        <w:t xml:space="preserve">Gestione degli eventi estremi </w:t>
      </w:r>
    </w:p>
    <w:p w14:paraId="71E15FC1" w14:textId="77777777" w:rsidR="00990F2C" w:rsidRPr="00DB4246" w:rsidRDefault="00990F2C" w:rsidP="00DB4246">
      <w:pPr>
        <w:pStyle w:val="Paragrafoelenco"/>
        <w:widowControl/>
        <w:numPr>
          <w:ilvl w:val="0"/>
          <w:numId w:val="47"/>
        </w:numPr>
        <w:adjustRightInd w:val="0"/>
        <w:jc w:val="both"/>
        <w:rPr>
          <w:rFonts w:ascii="Arial" w:eastAsiaTheme="minorHAnsi" w:hAnsi="Arial" w:cs="Arial"/>
          <w:color w:val="000000"/>
          <w:sz w:val="24"/>
          <w:szCs w:val="24"/>
        </w:rPr>
      </w:pPr>
      <w:r w:rsidRPr="00DB4246">
        <w:rPr>
          <w:rFonts w:ascii="Arial" w:eastAsiaTheme="minorHAnsi" w:hAnsi="Arial" w:cs="Arial"/>
          <w:color w:val="000000"/>
          <w:sz w:val="24"/>
          <w:szCs w:val="24"/>
        </w:rPr>
        <w:t xml:space="preserve">Coordinamento lotta e prevenzione incendi boschivi; </w:t>
      </w:r>
    </w:p>
    <w:p w14:paraId="6E23613A" w14:textId="77777777" w:rsidR="00990F2C" w:rsidRPr="00DB4246" w:rsidRDefault="00990F2C" w:rsidP="00DB4246">
      <w:pPr>
        <w:pStyle w:val="Paragrafoelenco"/>
        <w:widowControl/>
        <w:numPr>
          <w:ilvl w:val="0"/>
          <w:numId w:val="47"/>
        </w:numPr>
        <w:adjustRightInd w:val="0"/>
        <w:jc w:val="both"/>
        <w:rPr>
          <w:rFonts w:ascii="Arial" w:eastAsiaTheme="minorHAnsi" w:hAnsi="Arial" w:cs="Arial"/>
          <w:color w:val="000000"/>
          <w:sz w:val="24"/>
          <w:szCs w:val="24"/>
        </w:rPr>
      </w:pPr>
      <w:r w:rsidRPr="00DB4246">
        <w:rPr>
          <w:rFonts w:ascii="Arial" w:eastAsiaTheme="minorHAnsi" w:hAnsi="Arial" w:cs="Arial"/>
          <w:color w:val="000000"/>
          <w:sz w:val="24"/>
          <w:szCs w:val="24"/>
        </w:rPr>
        <w:t xml:space="preserve">Alberi monumentali e boschi vetusti </w:t>
      </w:r>
    </w:p>
    <w:p w14:paraId="5E55E07C" w14:textId="77777777" w:rsidR="00990F2C" w:rsidRPr="00DF56A5" w:rsidRDefault="00990F2C" w:rsidP="00990F2C">
      <w:pPr>
        <w:pStyle w:val="Corpotesto"/>
        <w:ind w:right="45"/>
        <w:jc w:val="both"/>
        <w:rPr>
          <w:rFonts w:ascii="Arial" w:hAnsi="Arial" w:cs="Arial"/>
          <w:sz w:val="24"/>
          <w:szCs w:val="24"/>
        </w:rPr>
      </w:pPr>
    </w:p>
    <w:p w14:paraId="1F91DCFA" w14:textId="43949DC8" w:rsidR="00990F2C" w:rsidRPr="00DF56A5" w:rsidRDefault="00981196" w:rsidP="00DF56A5">
      <w:pPr>
        <w:pStyle w:val="Corpotesto"/>
        <w:ind w:right="45" w:firstLine="567"/>
        <w:jc w:val="both"/>
        <w:rPr>
          <w:rFonts w:ascii="Arial" w:hAnsi="Arial" w:cs="Arial"/>
          <w:sz w:val="24"/>
          <w:szCs w:val="24"/>
        </w:rPr>
      </w:pPr>
      <w:r w:rsidRPr="00DF56A5">
        <w:rPr>
          <w:rFonts w:ascii="Arial" w:hAnsi="Arial" w:cs="Arial"/>
          <w:sz w:val="24"/>
          <w:szCs w:val="24"/>
        </w:rPr>
        <w:t xml:space="preserve">Queste azioni sono </w:t>
      </w:r>
      <w:r w:rsidR="00E64823" w:rsidRPr="00DF56A5">
        <w:rPr>
          <w:rFonts w:ascii="Arial" w:hAnsi="Arial" w:cs="Arial"/>
          <w:sz w:val="24"/>
          <w:szCs w:val="24"/>
        </w:rPr>
        <w:t>supportate da una serie di s</w:t>
      </w:r>
      <w:r w:rsidR="00990F2C" w:rsidRPr="00DF56A5">
        <w:rPr>
          <w:rFonts w:ascii="Arial" w:hAnsi="Arial" w:cs="Arial"/>
          <w:sz w:val="24"/>
          <w:szCs w:val="24"/>
        </w:rPr>
        <w:t>trumenti finanziari</w:t>
      </w:r>
      <w:r w:rsidR="00E64823" w:rsidRPr="00DF56A5">
        <w:rPr>
          <w:rFonts w:ascii="Arial" w:hAnsi="Arial" w:cs="Arial"/>
          <w:sz w:val="24"/>
          <w:szCs w:val="24"/>
        </w:rPr>
        <w:t xml:space="preserve"> che sono in capo alle Regioni</w:t>
      </w:r>
      <w:r w:rsidR="00DF56A5" w:rsidRPr="00DF56A5">
        <w:rPr>
          <w:rFonts w:ascii="Arial" w:hAnsi="Arial" w:cs="Arial"/>
          <w:sz w:val="24"/>
          <w:szCs w:val="24"/>
        </w:rPr>
        <w:t xml:space="preserve">, che verranno approfonditi nell’Azione C6. </w:t>
      </w:r>
    </w:p>
    <w:p w14:paraId="7369ACC0" w14:textId="69DC6411" w:rsidR="00EB50B1" w:rsidRPr="00DF56A5" w:rsidRDefault="00E20B90" w:rsidP="00DF56A5">
      <w:pPr>
        <w:pStyle w:val="Corpotesto"/>
        <w:ind w:right="45" w:firstLine="567"/>
        <w:jc w:val="both"/>
        <w:rPr>
          <w:rFonts w:ascii="Arial" w:hAnsi="Arial" w:cs="Arial"/>
          <w:sz w:val="24"/>
          <w:szCs w:val="24"/>
        </w:rPr>
      </w:pPr>
      <w:r>
        <w:rPr>
          <w:rFonts w:ascii="Arial" w:hAnsi="Arial" w:cs="Arial"/>
          <w:sz w:val="24"/>
          <w:szCs w:val="24"/>
        </w:rPr>
        <w:t>Nella SFN viene anche effettuata una analisi SWAT de</w:t>
      </w:r>
      <w:r w:rsidR="00152E26">
        <w:rPr>
          <w:rFonts w:ascii="Arial" w:hAnsi="Arial" w:cs="Arial"/>
          <w:sz w:val="24"/>
          <w:szCs w:val="24"/>
        </w:rPr>
        <w:t xml:space="preserve">lle foreste italiane che mette in luce come gli obbiettivi del Progetto LIFE CO2PES&amp;PEF siano </w:t>
      </w:r>
      <w:r w:rsidR="009A74D7">
        <w:rPr>
          <w:rFonts w:ascii="Arial" w:hAnsi="Arial" w:cs="Arial"/>
          <w:sz w:val="24"/>
          <w:szCs w:val="24"/>
        </w:rPr>
        <w:t>assolutamente allineati con la futura Strategia Nazionale Forestale</w:t>
      </w:r>
      <w:r w:rsidR="005F1C15">
        <w:rPr>
          <w:rFonts w:ascii="Arial" w:hAnsi="Arial" w:cs="Arial"/>
          <w:sz w:val="24"/>
          <w:szCs w:val="24"/>
        </w:rPr>
        <w:t xml:space="preserve">. Tralasciando l’enunciazione dei punti </w:t>
      </w:r>
      <w:r w:rsidR="00D63105">
        <w:rPr>
          <w:rFonts w:ascii="Arial" w:hAnsi="Arial" w:cs="Arial"/>
          <w:sz w:val="24"/>
          <w:szCs w:val="24"/>
        </w:rPr>
        <w:t xml:space="preserve">forza, che sono comunque notevoli, è utile presentare un breve estratto dei punti di debolezza, delle minacce e delle opportunità. </w:t>
      </w:r>
    </w:p>
    <w:p w14:paraId="7F063619" w14:textId="77777777" w:rsidR="00E8444A" w:rsidRDefault="00E8444A" w:rsidP="00BC09C4">
      <w:pPr>
        <w:pStyle w:val="Corpotesto"/>
        <w:ind w:right="45"/>
        <w:jc w:val="both"/>
        <w:rPr>
          <w:sz w:val="23"/>
          <w:szCs w:val="23"/>
        </w:rPr>
      </w:pPr>
    </w:p>
    <w:p w14:paraId="2F3C7D89" w14:textId="2E840F8F" w:rsidR="00E16D1A" w:rsidRPr="00616390" w:rsidRDefault="0054677D" w:rsidP="006332E1">
      <w:pPr>
        <w:pStyle w:val="Corpotesto"/>
        <w:ind w:right="45"/>
        <w:jc w:val="both"/>
        <w:rPr>
          <w:rFonts w:ascii="Arial" w:hAnsi="Arial" w:cs="Arial"/>
          <w:b/>
          <w:bCs/>
          <w:sz w:val="24"/>
          <w:szCs w:val="24"/>
        </w:rPr>
      </w:pPr>
      <w:r w:rsidRPr="00616390">
        <w:rPr>
          <w:rFonts w:ascii="Arial" w:hAnsi="Arial" w:cs="Arial"/>
          <w:b/>
          <w:bCs/>
          <w:sz w:val="24"/>
          <w:szCs w:val="24"/>
        </w:rPr>
        <w:t>Analisi SWAT</w:t>
      </w:r>
      <w:r w:rsidR="008C6087" w:rsidRPr="00616390">
        <w:rPr>
          <w:rFonts w:ascii="Arial" w:hAnsi="Arial" w:cs="Arial"/>
          <w:b/>
          <w:bCs/>
          <w:sz w:val="24"/>
          <w:szCs w:val="24"/>
        </w:rPr>
        <w:t xml:space="preserve"> - debolezze</w:t>
      </w:r>
    </w:p>
    <w:p w14:paraId="5F586939" w14:textId="2B67D225" w:rsidR="00F3469B" w:rsidRPr="00F3469B" w:rsidRDefault="00F3469B" w:rsidP="00076117">
      <w:pPr>
        <w:widowControl/>
        <w:numPr>
          <w:ilvl w:val="0"/>
          <w:numId w:val="27"/>
        </w:numPr>
        <w:adjustRightInd w:val="0"/>
        <w:jc w:val="both"/>
        <w:rPr>
          <w:rFonts w:ascii="Arial" w:eastAsiaTheme="minorHAnsi" w:hAnsi="Arial" w:cs="Arial"/>
          <w:color w:val="000000"/>
          <w:sz w:val="24"/>
          <w:szCs w:val="24"/>
        </w:rPr>
      </w:pPr>
      <w:r w:rsidRPr="00F3469B">
        <w:rPr>
          <w:rFonts w:ascii="Arial" w:eastAsiaTheme="minorHAnsi" w:hAnsi="Arial" w:cs="Arial"/>
          <w:b/>
          <w:bCs/>
          <w:i/>
          <w:iCs/>
          <w:color w:val="000000"/>
          <w:sz w:val="24"/>
          <w:szCs w:val="24"/>
        </w:rPr>
        <w:t>Bassa percentuale di pianificazione forestale di dettaglio per le proprietà private e pubbliche</w:t>
      </w:r>
      <w:r w:rsidRPr="00F3469B">
        <w:rPr>
          <w:rFonts w:ascii="Arial" w:eastAsiaTheme="minorHAnsi" w:hAnsi="Arial" w:cs="Arial"/>
          <w:color w:val="000000"/>
          <w:sz w:val="24"/>
          <w:szCs w:val="24"/>
        </w:rPr>
        <w:t xml:space="preserve"> (anche nei boschi per i quali i piani sarebbero obbligatori ai sensi del R.D. 3267/1923). </w:t>
      </w:r>
    </w:p>
    <w:p w14:paraId="36B33E35" w14:textId="77777777" w:rsidR="002E62D5" w:rsidRPr="002E62D5" w:rsidRDefault="002E62D5" w:rsidP="00076117">
      <w:pPr>
        <w:widowControl/>
        <w:numPr>
          <w:ilvl w:val="0"/>
          <w:numId w:val="27"/>
        </w:numPr>
        <w:adjustRightInd w:val="0"/>
        <w:jc w:val="both"/>
        <w:rPr>
          <w:rFonts w:ascii="Arial" w:eastAsiaTheme="minorHAnsi" w:hAnsi="Arial" w:cs="Arial"/>
          <w:color w:val="000000"/>
          <w:sz w:val="24"/>
          <w:szCs w:val="24"/>
        </w:rPr>
      </w:pPr>
      <w:r w:rsidRPr="002E62D5">
        <w:rPr>
          <w:rFonts w:ascii="Arial" w:eastAsiaTheme="minorHAnsi" w:hAnsi="Arial" w:cs="Arial"/>
          <w:color w:val="000000"/>
          <w:sz w:val="24"/>
          <w:szCs w:val="24"/>
        </w:rPr>
        <w:t>Scarsa gestione del territorio e del patrimonio forestale, anche per abbandono delle attività agro-</w:t>
      </w:r>
      <w:proofErr w:type="spellStart"/>
      <w:r w:rsidRPr="002E62D5">
        <w:rPr>
          <w:rFonts w:ascii="Arial" w:eastAsiaTheme="minorHAnsi" w:hAnsi="Arial" w:cs="Arial"/>
          <w:color w:val="000000"/>
          <w:sz w:val="24"/>
          <w:szCs w:val="24"/>
        </w:rPr>
        <w:t>silvo</w:t>
      </w:r>
      <w:proofErr w:type="spellEnd"/>
      <w:r w:rsidRPr="002E62D5">
        <w:rPr>
          <w:rFonts w:ascii="Arial" w:eastAsiaTheme="minorHAnsi" w:hAnsi="Arial" w:cs="Arial"/>
          <w:color w:val="000000"/>
          <w:sz w:val="24"/>
          <w:szCs w:val="24"/>
        </w:rPr>
        <w:t xml:space="preserve">-pastorali in collina e in montagna, con conseguente </w:t>
      </w:r>
      <w:r w:rsidRPr="002E62D5">
        <w:rPr>
          <w:rFonts w:ascii="Arial" w:eastAsiaTheme="minorHAnsi" w:hAnsi="Arial" w:cs="Arial"/>
          <w:b/>
          <w:bCs/>
          <w:i/>
          <w:iCs/>
          <w:color w:val="000000"/>
          <w:sz w:val="24"/>
          <w:szCs w:val="24"/>
        </w:rPr>
        <w:t>allungamento dei turni di gestione e aumento della vulnerabilità̀ ai disturbi naturali e antropici dei soprassuoli</w:t>
      </w:r>
      <w:r w:rsidRPr="002E62D5">
        <w:rPr>
          <w:rFonts w:ascii="Arial" w:eastAsiaTheme="minorHAnsi" w:hAnsi="Arial" w:cs="Arial"/>
          <w:color w:val="000000"/>
          <w:sz w:val="24"/>
          <w:szCs w:val="24"/>
        </w:rPr>
        <w:t xml:space="preserve"> con strutture semplificate e progressiva perdita delle conoscenze locali legate alle attività̀ forestali. </w:t>
      </w:r>
    </w:p>
    <w:p w14:paraId="12170188" w14:textId="77777777" w:rsidR="008C6087" w:rsidRPr="008C6087" w:rsidRDefault="008C6087" w:rsidP="00076117">
      <w:pPr>
        <w:widowControl/>
        <w:numPr>
          <w:ilvl w:val="0"/>
          <w:numId w:val="27"/>
        </w:numPr>
        <w:adjustRightInd w:val="0"/>
        <w:jc w:val="both"/>
        <w:rPr>
          <w:rFonts w:ascii="Arial" w:eastAsiaTheme="minorHAnsi" w:hAnsi="Arial" w:cs="Arial"/>
          <w:color w:val="000000"/>
          <w:sz w:val="24"/>
          <w:szCs w:val="24"/>
        </w:rPr>
      </w:pPr>
      <w:r w:rsidRPr="008C6087">
        <w:rPr>
          <w:rFonts w:ascii="Arial" w:eastAsiaTheme="minorHAnsi" w:hAnsi="Arial" w:cs="Arial"/>
          <w:b/>
          <w:bCs/>
          <w:i/>
          <w:iCs/>
          <w:color w:val="000000"/>
          <w:sz w:val="24"/>
          <w:szCs w:val="24"/>
        </w:rPr>
        <w:lastRenderedPageBreak/>
        <w:t>Scarsità di investimenti per la tutela</w:t>
      </w:r>
      <w:r w:rsidRPr="008C6087">
        <w:rPr>
          <w:rFonts w:ascii="Arial" w:eastAsiaTheme="minorHAnsi" w:hAnsi="Arial" w:cs="Arial"/>
          <w:color w:val="000000"/>
          <w:sz w:val="24"/>
          <w:szCs w:val="24"/>
        </w:rPr>
        <w:t xml:space="preserve">, la valorizzazione e lo sviluppo sostenibile delle aree forestali, necessari soprattutto </w:t>
      </w:r>
      <w:r w:rsidRPr="008C6087">
        <w:rPr>
          <w:rFonts w:ascii="Arial" w:eastAsiaTheme="minorHAnsi" w:hAnsi="Arial" w:cs="Arial"/>
          <w:b/>
          <w:bCs/>
          <w:i/>
          <w:iCs/>
          <w:color w:val="000000"/>
          <w:sz w:val="24"/>
          <w:szCs w:val="24"/>
        </w:rPr>
        <w:t>per l’aumento della resilienza, della prevenzione da incendi, calamità naturali ed eventi catastrofici e per il relativo ripristino post–danni</w:t>
      </w:r>
      <w:r w:rsidRPr="008C6087">
        <w:rPr>
          <w:rFonts w:ascii="Arial" w:eastAsiaTheme="minorHAnsi" w:hAnsi="Arial" w:cs="Arial"/>
          <w:color w:val="000000"/>
          <w:sz w:val="24"/>
          <w:szCs w:val="24"/>
        </w:rPr>
        <w:t xml:space="preserve">. </w:t>
      </w:r>
    </w:p>
    <w:p w14:paraId="7559E674" w14:textId="77777777" w:rsidR="00E02777" w:rsidRPr="00E02777" w:rsidRDefault="00E02777" w:rsidP="00076117">
      <w:pPr>
        <w:widowControl/>
        <w:numPr>
          <w:ilvl w:val="0"/>
          <w:numId w:val="27"/>
        </w:numPr>
        <w:adjustRightInd w:val="0"/>
        <w:jc w:val="both"/>
        <w:rPr>
          <w:rFonts w:ascii="Arial" w:eastAsiaTheme="minorHAnsi" w:hAnsi="Arial" w:cs="Arial"/>
          <w:color w:val="000000"/>
          <w:sz w:val="24"/>
          <w:szCs w:val="24"/>
        </w:rPr>
      </w:pPr>
      <w:r w:rsidRPr="00E02777">
        <w:rPr>
          <w:rFonts w:ascii="Arial" w:eastAsiaTheme="minorHAnsi" w:hAnsi="Arial" w:cs="Arial"/>
          <w:b/>
          <w:bCs/>
          <w:i/>
          <w:iCs/>
          <w:color w:val="000000"/>
          <w:sz w:val="24"/>
          <w:szCs w:val="24"/>
        </w:rPr>
        <w:t>Difficoltà di quantificazione e mancato riconoscimento in termini economici dei Servizi Ecosistemici</w:t>
      </w:r>
      <w:r w:rsidRPr="00E02777">
        <w:rPr>
          <w:rFonts w:ascii="Arial" w:eastAsiaTheme="minorHAnsi" w:hAnsi="Arial" w:cs="Arial"/>
          <w:color w:val="000000"/>
          <w:sz w:val="24"/>
          <w:szCs w:val="24"/>
        </w:rPr>
        <w:t xml:space="preserve"> (regolazione, mantenimento e culturali) offerti dalle risorse forestali. </w:t>
      </w:r>
    </w:p>
    <w:p w14:paraId="0FD0CC58" w14:textId="583C0E81" w:rsidR="002E62D5" w:rsidRPr="00616390" w:rsidRDefault="002E62D5" w:rsidP="006332E1">
      <w:pPr>
        <w:pStyle w:val="Corpotesto"/>
        <w:ind w:right="45"/>
        <w:jc w:val="both"/>
        <w:rPr>
          <w:rFonts w:ascii="Arial" w:hAnsi="Arial" w:cs="Arial"/>
          <w:sz w:val="24"/>
          <w:szCs w:val="24"/>
        </w:rPr>
      </w:pPr>
    </w:p>
    <w:p w14:paraId="30E3AF70" w14:textId="77777777" w:rsidR="001700ED" w:rsidRPr="00616390" w:rsidRDefault="001700ED" w:rsidP="001700ED">
      <w:pPr>
        <w:pStyle w:val="Corpotesto"/>
        <w:ind w:right="45"/>
        <w:jc w:val="both"/>
        <w:rPr>
          <w:rFonts w:ascii="Arial" w:hAnsi="Arial" w:cs="Arial"/>
          <w:b/>
          <w:bCs/>
          <w:sz w:val="24"/>
          <w:szCs w:val="24"/>
        </w:rPr>
      </w:pPr>
      <w:r w:rsidRPr="00616390">
        <w:rPr>
          <w:rFonts w:ascii="Arial" w:hAnsi="Arial" w:cs="Arial"/>
          <w:b/>
          <w:bCs/>
          <w:sz w:val="24"/>
          <w:szCs w:val="24"/>
        </w:rPr>
        <w:t>Analisi SWAT - Opportunità</w:t>
      </w:r>
    </w:p>
    <w:p w14:paraId="25D38235" w14:textId="77777777" w:rsidR="00A10787" w:rsidRPr="00A10787" w:rsidRDefault="00A10787" w:rsidP="00076117">
      <w:pPr>
        <w:widowControl/>
        <w:numPr>
          <w:ilvl w:val="0"/>
          <w:numId w:val="28"/>
        </w:numPr>
        <w:adjustRightInd w:val="0"/>
        <w:jc w:val="both"/>
        <w:rPr>
          <w:rFonts w:ascii="Arial" w:eastAsiaTheme="minorHAnsi" w:hAnsi="Arial" w:cs="Arial"/>
          <w:color w:val="000000"/>
          <w:sz w:val="24"/>
          <w:szCs w:val="24"/>
        </w:rPr>
      </w:pPr>
      <w:r w:rsidRPr="00A10787">
        <w:rPr>
          <w:rFonts w:ascii="Arial" w:eastAsiaTheme="minorHAnsi" w:hAnsi="Arial" w:cs="Arial"/>
          <w:b/>
          <w:bCs/>
          <w:i/>
          <w:iCs/>
          <w:color w:val="000000"/>
          <w:sz w:val="24"/>
          <w:szCs w:val="24"/>
        </w:rPr>
        <w:t xml:space="preserve">Possibilità di incremento dei </w:t>
      </w:r>
      <w:proofErr w:type="spellStart"/>
      <w:r w:rsidRPr="00A10787">
        <w:rPr>
          <w:rFonts w:ascii="Arial" w:eastAsiaTheme="minorHAnsi" w:hAnsi="Arial" w:cs="Arial"/>
          <w:b/>
          <w:bCs/>
          <w:i/>
          <w:iCs/>
          <w:color w:val="000000"/>
          <w:sz w:val="24"/>
          <w:szCs w:val="24"/>
        </w:rPr>
        <w:t>sink</w:t>
      </w:r>
      <w:proofErr w:type="spellEnd"/>
      <w:r w:rsidRPr="00A10787">
        <w:rPr>
          <w:rFonts w:ascii="Arial" w:eastAsiaTheme="minorHAnsi" w:hAnsi="Arial" w:cs="Arial"/>
          <w:b/>
          <w:bCs/>
          <w:i/>
          <w:iCs/>
          <w:color w:val="000000"/>
          <w:sz w:val="24"/>
          <w:szCs w:val="24"/>
        </w:rPr>
        <w:t xml:space="preserve"> e stock di carbonio nella gestione del patrimonio forestale</w:t>
      </w:r>
      <w:r w:rsidRPr="00A10787">
        <w:rPr>
          <w:rFonts w:ascii="Arial" w:eastAsiaTheme="minorHAnsi" w:hAnsi="Arial" w:cs="Arial"/>
          <w:color w:val="000000"/>
          <w:sz w:val="24"/>
          <w:szCs w:val="24"/>
        </w:rPr>
        <w:t xml:space="preserve"> e nei materiali e prodotti in legno. </w:t>
      </w:r>
    </w:p>
    <w:p w14:paraId="5255280B" w14:textId="77777777" w:rsidR="001700ED" w:rsidRPr="001700ED" w:rsidRDefault="001700ED" w:rsidP="00076117">
      <w:pPr>
        <w:widowControl/>
        <w:numPr>
          <w:ilvl w:val="0"/>
          <w:numId w:val="28"/>
        </w:numPr>
        <w:adjustRightInd w:val="0"/>
        <w:jc w:val="both"/>
        <w:rPr>
          <w:rFonts w:ascii="Arial" w:eastAsiaTheme="minorHAnsi" w:hAnsi="Arial" w:cs="Arial"/>
          <w:color w:val="000000"/>
          <w:sz w:val="24"/>
          <w:szCs w:val="24"/>
        </w:rPr>
      </w:pPr>
      <w:r w:rsidRPr="001700ED">
        <w:rPr>
          <w:rFonts w:ascii="Arial" w:eastAsiaTheme="minorHAnsi" w:hAnsi="Arial" w:cs="Arial"/>
          <w:color w:val="000000"/>
          <w:sz w:val="24"/>
          <w:szCs w:val="24"/>
        </w:rPr>
        <w:t xml:space="preserve">Possibilità di </w:t>
      </w:r>
      <w:r w:rsidRPr="001700ED">
        <w:rPr>
          <w:rFonts w:ascii="Arial" w:eastAsiaTheme="minorHAnsi" w:hAnsi="Arial" w:cs="Arial"/>
          <w:b/>
          <w:bCs/>
          <w:i/>
          <w:iCs/>
          <w:color w:val="000000"/>
          <w:sz w:val="24"/>
          <w:szCs w:val="24"/>
        </w:rPr>
        <w:t>incremento e sviluppo della bioeconomia e dell’economia circolare</w:t>
      </w:r>
      <w:r w:rsidRPr="001700ED">
        <w:rPr>
          <w:rFonts w:ascii="Arial" w:eastAsiaTheme="minorHAnsi" w:hAnsi="Arial" w:cs="Arial"/>
          <w:color w:val="000000"/>
          <w:sz w:val="24"/>
          <w:szCs w:val="24"/>
        </w:rPr>
        <w:t xml:space="preserve"> anche nel settore forestale e creazione di nuova occupazione in ambito locale e nell’indotto industriale. </w:t>
      </w:r>
    </w:p>
    <w:p w14:paraId="6F75E78A" w14:textId="77777777" w:rsidR="00A10787" w:rsidRPr="00A10787" w:rsidRDefault="00A10787" w:rsidP="00A10787">
      <w:pPr>
        <w:widowControl/>
        <w:adjustRightInd w:val="0"/>
        <w:jc w:val="both"/>
        <w:rPr>
          <w:rFonts w:ascii="Arial" w:eastAsiaTheme="minorHAnsi" w:hAnsi="Arial" w:cs="Arial"/>
          <w:sz w:val="24"/>
          <w:szCs w:val="24"/>
        </w:rPr>
      </w:pPr>
    </w:p>
    <w:p w14:paraId="7977A58B" w14:textId="2D337DC2" w:rsidR="001700ED" w:rsidRPr="00616390" w:rsidRDefault="001700ED" w:rsidP="001700ED">
      <w:pPr>
        <w:pStyle w:val="Corpotesto"/>
        <w:ind w:right="45"/>
        <w:jc w:val="both"/>
        <w:rPr>
          <w:rFonts w:ascii="Arial" w:hAnsi="Arial" w:cs="Arial"/>
          <w:b/>
          <w:bCs/>
          <w:sz w:val="24"/>
          <w:szCs w:val="24"/>
        </w:rPr>
      </w:pPr>
      <w:r w:rsidRPr="00616390">
        <w:rPr>
          <w:rFonts w:ascii="Arial" w:hAnsi="Arial" w:cs="Arial"/>
          <w:b/>
          <w:bCs/>
          <w:sz w:val="24"/>
          <w:szCs w:val="24"/>
        </w:rPr>
        <w:t>Analisi SWAT - Minacce</w:t>
      </w:r>
    </w:p>
    <w:p w14:paraId="163284FA" w14:textId="77777777" w:rsidR="003A599B" w:rsidRPr="003A599B" w:rsidRDefault="003A599B" w:rsidP="00076117">
      <w:pPr>
        <w:widowControl/>
        <w:numPr>
          <w:ilvl w:val="0"/>
          <w:numId w:val="29"/>
        </w:numPr>
        <w:adjustRightInd w:val="0"/>
        <w:jc w:val="both"/>
        <w:rPr>
          <w:rFonts w:ascii="Arial" w:eastAsiaTheme="minorHAnsi" w:hAnsi="Arial" w:cs="Arial"/>
          <w:color w:val="000000"/>
          <w:sz w:val="24"/>
          <w:szCs w:val="24"/>
        </w:rPr>
      </w:pPr>
      <w:r w:rsidRPr="003A599B">
        <w:rPr>
          <w:rFonts w:ascii="Arial" w:eastAsiaTheme="minorHAnsi" w:hAnsi="Arial" w:cs="Arial"/>
          <w:b/>
          <w:bCs/>
          <w:i/>
          <w:iCs/>
          <w:color w:val="000000"/>
          <w:sz w:val="24"/>
          <w:szCs w:val="24"/>
        </w:rPr>
        <w:t>Impatti negativi legati alla crisi climatica</w:t>
      </w:r>
      <w:r w:rsidRPr="003A599B">
        <w:rPr>
          <w:rFonts w:ascii="Arial" w:eastAsiaTheme="minorHAnsi" w:hAnsi="Arial" w:cs="Arial"/>
          <w:color w:val="000000"/>
          <w:sz w:val="24"/>
          <w:szCs w:val="24"/>
        </w:rPr>
        <w:t xml:space="preserve">, in particolare relativamente </w:t>
      </w:r>
      <w:r w:rsidRPr="003A599B">
        <w:rPr>
          <w:rFonts w:ascii="Arial" w:eastAsiaTheme="minorHAnsi" w:hAnsi="Arial" w:cs="Arial"/>
          <w:b/>
          <w:bCs/>
          <w:i/>
          <w:iCs/>
          <w:color w:val="000000"/>
          <w:sz w:val="24"/>
          <w:szCs w:val="24"/>
        </w:rPr>
        <w:t>all’aumento della frequenza degli incendi e di attacchi parassitari</w:t>
      </w:r>
      <w:r w:rsidRPr="003A599B">
        <w:rPr>
          <w:rFonts w:ascii="Arial" w:eastAsiaTheme="minorHAnsi" w:hAnsi="Arial" w:cs="Arial"/>
          <w:color w:val="000000"/>
          <w:sz w:val="24"/>
          <w:szCs w:val="24"/>
        </w:rPr>
        <w:t xml:space="preserve">, sulla biodiversità̀ e sulla </w:t>
      </w:r>
      <w:r w:rsidRPr="003A599B">
        <w:rPr>
          <w:rFonts w:ascii="Arial" w:eastAsiaTheme="minorHAnsi" w:hAnsi="Arial" w:cs="Arial"/>
          <w:i/>
          <w:iCs/>
          <w:color w:val="000000"/>
          <w:sz w:val="24"/>
          <w:szCs w:val="24"/>
        </w:rPr>
        <w:t>stabilità ed efficienza degli ecosistemi forestali</w:t>
      </w:r>
      <w:r w:rsidRPr="003A599B">
        <w:rPr>
          <w:rFonts w:ascii="Arial" w:eastAsiaTheme="minorHAnsi" w:hAnsi="Arial" w:cs="Arial"/>
          <w:color w:val="000000"/>
          <w:sz w:val="24"/>
          <w:szCs w:val="24"/>
        </w:rPr>
        <w:t xml:space="preserve">. </w:t>
      </w:r>
    </w:p>
    <w:p w14:paraId="4F4B2C45" w14:textId="77777777" w:rsidR="003A599B" w:rsidRPr="003A599B" w:rsidRDefault="003A599B" w:rsidP="00076117">
      <w:pPr>
        <w:widowControl/>
        <w:numPr>
          <w:ilvl w:val="0"/>
          <w:numId w:val="29"/>
        </w:numPr>
        <w:adjustRightInd w:val="0"/>
        <w:jc w:val="both"/>
        <w:rPr>
          <w:rFonts w:ascii="Arial" w:eastAsiaTheme="minorHAnsi" w:hAnsi="Arial" w:cs="Arial"/>
          <w:color w:val="000000"/>
          <w:sz w:val="24"/>
          <w:szCs w:val="24"/>
        </w:rPr>
      </w:pPr>
      <w:r w:rsidRPr="003A599B">
        <w:rPr>
          <w:rFonts w:ascii="Arial" w:eastAsiaTheme="minorHAnsi" w:hAnsi="Arial" w:cs="Arial"/>
          <w:color w:val="000000"/>
          <w:sz w:val="24"/>
          <w:szCs w:val="24"/>
        </w:rPr>
        <w:t xml:space="preserve">Minore crescita e scarso sviluppo </w:t>
      </w:r>
      <w:proofErr w:type="gramStart"/>
      <w:r w:rsidRPr="003A599B">
        <w:rPr>
          <w:rFonts w:ascii="Arial" w:eastAsiaTheme="minorHAnsi" w:hAnsi="Arial" w:cs="Arial"/>
          <w:color w:val="000000"/>
          <w:sz w:val="24"/>
          <w:szCs w:val="24"/>
        </w:rPr>
        <w:t>socio-economico</w:t>
      </w:r>
      <w:proofErr w:type="gramEnd"/>
      <w:r w:rsidRPr="003A599B">
        <w:rPr>
          <w:rFonts w:ascii="Arial" w:eastAsiaTheme="minorHAnsi" w:hAnsi="Arial" w:cs="Arial"/>
          <w:color w:val="000000"/>
          <w:sz w:val="24"/>
          <w:szCs w:val="24"/>
        </w:rPr>
        <w:t xml:space="preserve"> e conseguente spopolamento delle aree montane e rurali del Paese. </w:t>
      </w:r>
    </w:p>
    <w:p w14:paraId="5F20B624" w14:textId="77777777" w:rsidR="007B7F24" w:rsidRPr="007B7F24" w:rsidRDefault="007B7F24" w:rsidP="00076117">
      <w:pPr>
        <w:widowControl/>
        <w:numPr>
          <w:ilvl w:val="0"/>
          <w:numId w:val="29"/>
        </w:numPr>
        <w:adjustRightInd w:val="0"/>
        <w:jc w:val="both"/>
        <w:rPr>
          <w:rFonts w:ascii="Arial" w:eastAsiaTheme="minorHAnsi" w:hAnsi="Arial" w:cs="Arial"/>
          <w:color w:val="000000"/>
          <w:sz w:val="24"/>
          <w:szCs w:val="24"/>
        </w:rPr>
      </w:pPr>
      <w:r w:rsidRPr="007B7F24">
        <w:rPr>
          <w:rFonts w:ascii="Arial" w:eastAsiaTheme="minorHAnsi" w:hAnsi="Arial" w:cs="Arial"/>
          <w:color w:val="000000"/>
          <w:sz w:val="24"/>
          <w:szCs w:val="24"/>
        </w:rPr>
        <w:t xml:space="preserve">Perdita di redditività delle normali prassi di gestione del bosco e di valore commerciale delle foreste a vocazione produttiva. </w:t>
      </w:r>
    </w:p>
    <w:p w14:paraId="04F85ECB" w14:textId="2D2536CC" w:rsidR="007B7F24" w:rsidRPr="007B7F24" w:rsidRDefault="007B7F24" w:rsidP="00076117">
      <w:pPr>
        <w:widowControl/>
        <w:numPr>
          <w:ilvl w:val="0"/>
          <w:numId w:val="29"/>
        </w:numPr>
        <w:adjustRightInd w:val="0"/>
        <w:jc w:val="both"/>
        <w:rPr>
          <w:rFonts w:ascii="Arial" w:eastAsiaTheme="minorHAnsi" w:hAnsi="Arial" w:cs="Arial"/>
          <w:color w:val="000000"/>
          <w:sz w:val="24"/>
          <w:szCs w:val="24"/>
        </w:rPr>
      </w:pPr>
      <w:r w:rsidRPr="007B7F24">
        <w:rPr>
          <w:rFonts w:ascii="Arial" w:eastAsiaTheme="minorHAnsi" w:hAnsi="Arial" w:cs="Arial"/>
          <w:color w:val="000000"/>
          <w:sz w:val="24"/>
          <w:szCs w:val="24"/>
        </w:rPr>
        <w:t xml:space="preserve">Aumento della dipendenza dall’estero per l’approvvigionamento di materie prime legnose. </w:t>
      </w:r>
    </w:p>
    <w:p w14:paraId="13055018" w14:textId="31754FBA" w:rsidR="002E62D5" w:rsidRDefault="002E62D5" w:rsidP="006332E1">
      <w:pPr>
        <w:pStyle w:val="Corpotesto"/>
        <w:ind w:right="45"/>
        <w:jc w:val="both"/>
        <w:rPr>
          <w:rFonts w:ascii="Arial" w:hAnsi="Arial" w:cs="Arial"/>
          <w:sz w:val="24"/>
          <w:szCs w:val="24"/>
        </w:rPr>
      </w:pPr>
    </w:p>
    <w:p w14:paraId="7C807360" w14:textId="0666501B" w:rsidR="00311458" w:rsidRDefault="00811246" w:rsidP="002C3FF4">
      <w:pPr>
        <w:pStyle w:val="Corpotesto"/>
        <w:ind w:right="45" w:firstLine="567"/>
        <w:jc w:val="both"/>
        <w:rPr>
          <w:rFonts w:ascii="Arial" w:hAnsi="Arial" w:cs="Arial"/>
          <w:sz w:val="24"/>
          <w:szCs w:val="24"/>
        </w:rPr>
      </w:pPr>
      <w:r>
        <w:rPr>
          <w:rFonts w:ascii="Arial" w:hAnsi="Arial" w:cs="Arial"/>
          <w:sz w:val="24"/>
          <w:szCs w:val="24"/>
        </w:rPr>
        <w:t>È</w:t>
      </w:r>
      <w:r w:rsidR="00311458">
        <w:rPr>
          <w:rFonts w:ascii="Arial" w:hAnsi="Arial" w:cs="Arial"/>
          <w:sz w:val="24"/>
          <w:szCs w:val="24"/>
        </w:rPr>
        <w:t xml:space="preserve"> interessante osservare che nelle debolezze si mette in rilevo il problema della mancanza di </w:t>
      </w:r>
      <w:r w:rsidR="002C3FF4">
        <w:rPr>
          <w:rFonts w:ascii="Arial" w:hAnsi="Arial" w:cs="Arial"/>
          <w:sz w:val="24"/>
          <w:szCs w:val="24"/>
        </w:rPr>
        <w:t xml:space="preserve">Piani di Assestamento o di Indirizzo, che sono essenziali per lo sviluppo della GFS e contrasta con le assunzioni fatte </w:t>
      </w:r>
      <w:r w:rsidR="009E67B7">
        <w:rPr>
          <w:rFonts w:ascii="Arial" w:hAnsi="Arial" w:cs="Arial"/>
          <w:sz w:val="24"/>
          <w:szCs w:val="24"/>
        </w:rPr>
        <w:t>da ISPRA per il NFAP</w:t>
      </w:r>
      <w:r w:rsidR="00D40270">
        <w:rPr>
          <w:rFonts w:ascii="Arial" w:hAnsi="Arial" w:cs="Arial"/>
          <w:sz w:val="24"/>
          <w:szCs w:val="24"/>
        </w:rPr>
        <w:t xml:space="preserve"> e le attività connesse al Protocollo di Kyoto. </w:t>
      </w:r>
      <w:r w:rsidR="003F1036">
        <w:rPr>
          <w:rFonts w:ascii="Arial" w:hAnsi="Arial" w:cs="Arial"/>
          <w:sz w:val="24"/>
          <w:szCs w:val="24"/>
        </w:rPr>
        <w:t xml:space="preserve">Si evidenza nelle opportunità le possibilità dell’incremento del carbon </w:t>
      </w:r>
      <w:proofErr w:type="spellStart"/>
      <w:r w:rsidR="003F1036">
        <w:rPr>
          <w:rFonts w:ascii="Arial" w:hAnsi="Arial" w:cs="Arial"/>
          <w:sz w:val="24"/>
          <w:szCs w:val="24"/>
        </w:rPr>
        <w:t>sink</w:t>
      </w:r>
      <w:proofErr w:type="spellEnd"/>
      <w:r w:rsidR="003F1036">
        <w:rPr>
          <w:rFonts w:ascii="Arial" w:hAnsi="Arial" w:cs="Arial"/>
          <w:sz w:val="24"/>
          <w:szCs w:val="24"/>
        </w:rPr>
        <w:t xml:space="preserve"> nella gest</w:t>
      </w:r>
      <w:r w:rsidR="000414C5">
        <w:rPr>
          <w:rFonts w:ascii="Arial" w:hAnsi="Arial" w:cs="Arial"/>
          <w:sz w:val="24"/>
          <w:szCs w:val="24"/>
        </w:rPr>
        <w:t>i</w:t>
      </w:r>
      <w:r w:rsidR="003F1036">
        <w:rPr>
          <w:rFonts w:ascii="Arial" w:hAnsi="Arial" w:cs="Arial"/>
          <w:sz w:val="24"/>
          <w:szCs w:val="24"/>
        </w:rPr>
        <w:t>one del patrimonio foresta</w:t>
      </w:r>
      <w:r>
        <w:rPr>
          <w:rFonts w:ascii="Arial" w:hAnsi="Arial" w:cs="Arial"/>
          <w:sz w:val="24"/>
          <w:szCs w:val="24"/>
        </w:rPr>
        <w:t>le</w:t>
      </w:r>
      <w:r w:rsidR="000A75B6">
        <w:rPr>
          <w:rFonts w:ascii="Arial" w:hAnsi="Arial" w:cs="Arial"/>
          <w:sz w:val="24"/>
          <w:szCs w:val="24"/>
        </w:rPr>
        <w:t xml:space="preserve">, ma soprattutto si mette in evidenza come la mancanza di valorizzazione dell’economia connessa al bosco </w:t>
      </w:r>
      <w:r w:rsidR="000414C5">
        <w:rPr>
          <w:rFonts w:ascii="Arial" w:hAnsi="Arial" w:cs="Arial"/>
          <w:sz w:val="24"/>
          <w:szCs w:val="24"/>
        </w:rPr>
        <w:t xml:space="preserve">rappresenti un problema molto grave per la resilienza delle comunità locali che vivono nelle aree rurali e montane. </w:t>
      </w:r>
    </w:p>
    <w:p w14:paraId="78E63A6F" w14:textId="2A4B27F2" w:rsidR="0074525F" w:rsidRPr="000414C5" w:rsidRDefault="002C495C" w:rsidP="0048127E">
      <w:pPr>
        <w:pStyle w:val="Corpotesto"/>
        <w:ind w:right="45" w:firstLine="567"/>
        <w:jc w:val="both"/>
        <w:rPr>
          <w:rFonts w:ascii="Arial" w:hAnsi="Arial" w:cs="Arial"/>
          <w:sz w:val="24"/>
          <w:szCs w:val="24"/>
        </w:rPr>
      </w:pPr>
      <w:r>
        <w:rPr>
          <w:rFonts w:ascii="Arial" w:hAnsi="Arial" w:cs="Arial"/>
          <w:sz w:val="24"/>
          <w:szCs w:val="24"/>
        </w:rPr>
        <w:t>Infine</w:t>
      </w:r>
      <w:r w:rsidR="0048127E">
        <w:rPr>
          <w:rFonts w:ascii="Arial" w:hAnsi="Arial" w:cs="Arial"/>
          <w:sz w:val="24"/>
          <w:szCs w:val="24"/>
        </w:rPr>
        <w:t>,</w:t>
      </w:r>
      <w:r>
        <w:rPr>
          <w:rFonts w:ascii="Arial" w:hAnsi="Arial" w:cs="Arial"/>
          <w:sz w:val="24"/>
          <w:szCs w:val="24"/>
        </w:rPr>
        <w:t xml:space="preserve"> è opportuno citare che anche in questo documento </w:t>
      </w:r>
      <w:r w:rsidR="0048127E">
        <w:rPr>
          <w:rFonts w:ascii="Arial" w:hAnsi="Arial" w:cs="Arial"/>
          <w:sz w:val="24"/>
          <w:szCs w:val="24"/>
        </w:rPr>
        <w:t xml:space="preserve">si considera </w:t>
      </w:r>
      <w:r w:rsidR="0074525F" w:rsidRPr="000414C5">
        <w:rPr>
          <w:rFonts w:ascii="Arial" w:hAnsi="Arial" w:cs="Arial"/>
          <w:sz w:val="24"/>
          <w:szCs w:val="24"/>
        </w:rPr>
        <w:t xml:space="preserve">quanto </w:t>
      </w:r>
      <w:r w:rsidR="0048127E">
        <w:rPr>
          <w:rFonts w:ascii="Arial" w:hAnsi="Arial" w:cs="Arial"/>
          <w:sz w:val="24"/>
          <w:szCs w:val="24"/>
        </w:rPr>
        <w:t xml:space="preserve">già </w:t>
      </w:r>
      <w:r w:rsidR="0074525F" w:rsidRPr="000414C5">
        <w:rPr>
          <w:rFonts w:ascii="Arial" w:hAnsi="Arial" w:cs="Arial"/>
          <w:sz w:val="24"/>
          <w:szCs w:val="24"/>
        </w:rPr>
        <w:t>richiamato nel NFAP in merito all’incremento del prelievo di legno. S</w:t>
      </w:r>
      <w:r w:rsidR="0048127E">
        <w:rPr>
          <w:rFonts w:ascii="Arial" w:hAnsi="Arial" w:cs="Arial"/>
          <w:sz w:val="24"/>
          <w:szCs w:val="24"/>
        </w:rPr>
        <w:t>i</w:t>
      </w:r>
      <w:r w:rsidR="0074525F" w:rsidRPr="000414C5">
        <w:rPr>
          <w:rFonts w:ascii="Arial" w:hAnsi="Arial" w:cs="Arial"/>
          <w:sz w:val="24"/>
          <w:szCs w:val="24"/>
        </w:rPr>
        <w:t xml:space="preserve"> afferma infatti che </w:t>
      </w:r>
      <w:r w:rsidR="0074525F" w:rsidRPr="000414C5">
        <w:rPr>
          <w:rFonts w:ascii="Arial" w:hAnsi="Arial" w:cs="Arial"/>
          <w:i/>
          <w:iCs/>
          <w:sz w:val="24"/>
          <w:szCs w:val="24"/>
        </w:rPr>
        <w:t xml:space="preserve">“per non generare debiti rispetto </w:t>
      </w:r>
      <w:r w:rsidR="00811246">
        <w:rPr>
          <w:rFonts w:ascii="Arial" w:hAnsi="Arial" w:cs="Arial"/>
          <w:i/>
          <w:iCs/>
          <w:sz w:val="24"/>
          <w:szCs w:val="24"/>
        </w:rPr>
        <w:t>al</w:t>
      </w:r>
      <w:r w:rsidR="00811246" w:rsidRPr="000414C5">
        <w:rPr>
          <w:rFonts w:ascii="Arial" w:hAnsi="Arial" w:cs="Arial"/>
          <w:i/>
          <w:iCs/>
          <w:sz w:val="24"/>
          <w:szCs w:val="24"/>
        </w:rPr>
        <w:t xml:space="preserve"> </w:t>
      </w:r>
      <w:r w:rsidR="0074525F" w:rsidRPr="000414C5">
        <w:rPr>
          <w:rFonts w:ascii="Arial" w:hAnsi="Arial" w:cs="Arial"/>
          <w:i/>
          <w:iCs/>
          <w:sz w:val="24"/>
          <w:szCs w:val="24"/>
        </w:rPr>
        <w:t>livello di riferimento, la gestione forestale in Italia può espandere le attività di prelievo fino ad un massimo del 40-45% dell’incremento annuo, partendo dall’attuale utilizzo stimato del 33% (RAF, 2019)”.</w:t>
      </w:r>
      <w:r w:rsidR="0074525F" w:rsidRPr="000414C5">
        <w:rPr>
          <w:rFonts w:ascii="Arial" w:hAnsi="Arial" w:cs="Arial"/>
          <w:sz w:val="24"/>
          <w:szCs w:val="24"/>
        </w:rPr>
        <w:t xml:space="preserve"> In ogni caso si afferma che tali conteggi andranno comunque verificati alla luce del prossimo Inventario nazionale delle foreste e del carbonio e dei dati sugli effettivi prelievi. </w:t>
      </w:r>
    </w:p>
    <w:p w14:paraId="06D8CF58" w14:textId="3D0F3A35" w:rsidR="00E77D44" w:rsidRDefault="00E77D44" w:rsidP="006332E1">
      <w:pPr>
        <w:pStyle w:val="Corpotesto"/>
        <w:ind w:right="45"/>
        <w:jc w:val="both"/>
        <w:rPr>
          <w:rFonts w:ascii="Arial" w:hAnsi="Arial" w:cs="Arial"/>
          <w:sz w:val="24"/>
          <w:szCs w:val="24"/>
        </w:rPr>
      </w:pPr>
    </w:p>
    <w:p w14:paraId="0C38C80B" w14:textId="77777777" w:rsidR="003E51E5" w:rsidRDefault="003E51E5" w:rsidP="006332E1">
      <w:pPr>
        <w:pStyle w:val="Corpotesto"/>
        <w:ind w:right="45"/>
        <w:jc w:val="both"/>
        <w:rPr>
          <w:rFonts w:ascii="Arial" w:hAnsi="Arial" w:cs="Arial"/>
          <w:sz w:val="24"/>
          <w:szCs w:val="24"/>
        </w:rPr>
      </w:pPr>
    </w:p>
    <w:p w14:paraId="1D6A8BD8" w14:textId="692A2938" w:rsidR="00885593" w:rsidRDefault="00885593" w:rsidP="00885593">
      <w:pPr>
        <w:pStyle w:val="Titolo2"/>
      </w:pPr>
      <w:bookmarkStart w:id="17" w:name="_Toc74265406"/>
      <w:r>
        <w:t>Le politiche regionali</w:t>
      </w:r>
      <w:bookmarkEnd w:id="17"/>
    </w:p>
    <w:p w14:paraId="55A25BBD" w14:textId="117C31B9" w:rsidR="000A2FFD" w:rsidRDefault="000A2FFD" w:rsidP="006332E1">
      <w:pPr>
        <w:pStyle w:val="Corpotesto"/>
        <w:ind w:right="45"/>
        <w:jc w:val="both"/>
        <w:rPr>
          <w:rFonts w:ascii="Arial" w:hAnsi="Arial" w:cs="Arial"/>
          <w:sz w:val="24"/>
          <w:szCs w:val="24"/>
        </w:rPr>
      </w:pPr>
    </w:p>
    <w:p w14:paraId="648C3AA8" w14:textId="2048380C" w:rsidR="00885593" w:rsidRDefault="00885593" w:rsidP="00885593">
      <w:pPr>
        <w:pStyle w:val="Corpotesto"/>
        <w:ind w:right="45" w:firstLine="567"/>
        <w:jc w:val="both"/>
        <w:rPr>
          <w:rFonts w:ascii="Arial" w:hAnsi="Arial" w:cs="Arial"/>
          <w:sz w:val="24"/>
          <w:szCs w:val="24"/>
        </w:rPr>
      </w:pPr>
      <w:r>
        <w:rPr>
          <w:rFonts w:ascii="Arial" w:hAnsi="Arial" w:cs="Arial"/>
          <w:sz w:val="24"/>
          <w:szCs w:val="24"/>
        </w:rPr>
        <w:t xml:space="preserve">A livello regionale </w:t>
      </w:r>
      <w:r w:rsidR="005C2B1C">
        <w:rPr>
          <w:rFonts w:ascii="Arial" w:hAnsi="Arial" w:cs="Arial"/>
          <w:sz w:val="24"/>
          <w:szCs w:val="24"/>
        </w:rPr>
        <w:t>gli strumenti della GFS sono i Piani</w:t>
      </w:r>
      <w:r w:rsidR="009A122A">
        <w:rPr>
          <w:rFonts w:ascii="Arial" w:hAnsi="Arial" w:cs="Arial"/>
          <w:sz w:val="24"/>
          <w:szCs w:val="24"/>
        </w:rPr>
        <w:t xml:space="preserve"> Forestali</w:t>
      </w:r>
      <w:r w:rsidR="005C2B1C">
        <w:rPr>
          <w:rFonts w:ascii="Arial" w:hAnsi="Arial" w:cs="Arial"/>
          <w:sz w:val="24"/>
          <w:szCs w:val="24"/>
        </w:rPr>
        <w:t xml:space="preserve"> Regional</w:t>
      </w:r>
      <w:r w:rsidR="00125D71">
        <w:rPr>
          <w:rFonts w:ascii="Arial" w:hAnsi="Arial" w:cs="Arial"/>
          <w:sz w:val="24"/>
          <w:szCs w:val="24"/>
        </w:rPr>
        <w:t xml:space="preserve">i. Le regioni più avanzate in tema di gestione forestale hanno recentemente recepito </w:t>
      </w:r>
      <w:r w:rsidR="0098492A">
        <w:rPr>
          <w:rFonts w:ascii="Arial" w:hAnsi="Arial" w:cs="Arial"/>
          <w:sz w:val="24"/>
          <w:szCs w:val="24"/>
        </w:rPr>
        <w:t xml:space="preserve">la GFS e il suo raccordo con il clima, anche se solo a livello di indirizzo. Ad esempio, </w:t>
      </w:r>
      <w:r w:rsidR="00811246">
        <w:rPr>
          <w:rFonts w:ascii="Arial" w:hAnsi="Arial" w:cs="Arial"/>
          <w:sz w:val="24"/>
          <w:szCs w:val="24"/>
        </w:rPr>
        <w:t>n</w:t>
      </w:r>
      <w:r w:rsidR="00CF7ED6">
        <w:rPr>
          <w:rFonts w:ascii="Arial" w:hAnsi="Arial" w:cs="Arial"/>
          <w:sz w:val="24"/>
          <w:szCs w:val="24"/>
        </w:rPr>
        <w:t>e</w:t>
      </w:r>
      <w:r w:rsidR="00811246">
        <w:rPr>
          <w:rFonts w:ascii="Arial" w:hAnsi="Arial" w:cs="Arial"/>
          <w:sz w:val="24"/>
          <w:szCs w:val="24"/>
        </w:rPr>
        <w:t>l</w:t>
      </w:r>
      <w:r w:rsidR="00CF7ED6">
        <w:rPr>
          <w:rFonts w:ascii="Arial" w:hAnsi="Arial" w:cs="Arial"/>
          <w:sz w:val="24"/>
          <w:szCs w:val="24"/>
        </w:rPr>
        <w:t xml:space="preserve"> Piano della Regione </w:t>
      </w:r>
      <w:proofErr w:type="gramStart"/>
      <w:r w:rsidR="00CF7ED6">
        <w:rPr>
          <w:rFonts w:ascii="Arial" w:hAnsi="Arial" w:cs="Arial"/>
          <w:sz w:val="24"/>
          <w:szCs w:val="24"/>
        </w:rPr>
        <w:t>Emilia Romagna</w:t>
      </w:r>
      <w:proofErr w:type="gramEnd"/>
      <w:r w:rsidR="00CF7ED6">
        <w:rPr>
          <w:rFonts w:ascii="Arial" w:hAnsi="Arial" w:cs="Arial"/>
          <w:sz w:val="24"/>
          <w:szCs w:val="24"/>
        </w:rPr>
        <w:t xml:space="preserve"> del 2020, tra gli indirizzi si citano esplicitamente: </w:t>
      </w:r>
    </w:p>
    <w:p w14:paraId="3501D72C" w14:textId="04BDC207" w:rsidR="008B43AB" w:rsidRPr="008B43AB" w:rsidRDefault="008B43AB" w:rsidP="00076117">
      <w:pPr>
        <w:pStyle w:val="Paragrafoelenco"/>
        <w:widowControl/>
        <w:numPr>
          <w:ilvl w:val="0"/>
          <w:numId w:val="31"/>
        </w:numPr>
        <w:adjustRightInd w:val="0"/>
        <w:rPr>
          <w:rFonts w:ascii="Arial" w:eastAsiaTheme="minorHAnsi" w:hAnsi="Arial" w:cs="Arial"/>
          <w:sz w:val="24"/>
          <w:szCs w:val="24"/>
        </w:rPr>
      </w:pPr>
      <w:r w:rsidRPr="008B43AB">
        <w:rPr>
          <w:rFonts w:ascii="Arial" w:eastAsiaTheme="minorHAnsi" w:hAnsi="Arial" w:cs="Arial"/>
          <w:sz w:val="24"/>
          <w:szCs w:val="24"/>
        </w:rPr>
        <w:lastRenderedPageBreak/>
        <w:t>Mitigare i cambiamenti climatici e aumentare la resilienza delle foreste, conservare la biodiversità e il paesaggio mediante strumenti come:</w:t>
      </w:r>
    </w:p>
    <w:p w14:paraId="22A88974" w14:textId="07ACD009" w:rsidR="008B43AB" w:rsidRPr="008B43AB" w:rsidRDefault="008B43AB" w:rsidP="00076117">
      <w:pPr>
        <w:pStyle w:val="Paragrafoelenco"/>
        <w:widowControl/>
        <w:numPr>
          <w:ilvl w:val="1"/>
          <w:numId w:val="31"/>
        </w:numPr>
        <w:adjustRightInd w:val="0"/>
        <w:rPr>
          <w:rFonts w:ascii="Arial" w:eastAsiaTheme="minorHAnsi" w:hAnsi="Arial" w:cs="Arial"/>
          <w:sz w:val="24"/>
          <w:szCs w:val="24"/>
        </w:rPr>
      </w:pPr>
      <w:r w:rsidRPr="008B43AB">
        <w:rPr>
          <w:rFonts w:ascii="Arial" w:eastAsiaTheme="minorHAnsi" w:hAnsi="Arial" w:cs="Arial"/>
          <w:sz w:val="24"/>
          <w:szCs w:val="24"/>
        </w:rPr>
        <w:t>Diradamenti</w:t>
      </w:r>
    </w:p>
    <w:p w14:paraId="36ADF225" w14:textId="0BB5AC7C" w:rsidR="008B43AB" w:rsidRPr="008B43AB" w:rsidRDefault="008B43AB" w:rsidP="00076117">
      <w:pPr>
        <w:pStyle w:val="Paragrafoelenco"/>
        <w:widowControl/>
        <w:numPr>
          <w:ilvl w:val="1"/>
          <w:numId w:val="31"/>
        </w:numPr>
        <w:adjustRightInd w:val="0"/>
        <w:rPr>
          <w:rFonts w:ascii="Arial" w:eastAsiaTheme="minorHAnsi" w:hAnsi="Arial" w:cs="Arial"/>
          <w:sz w:val="24"/>
          <w:szCs w:val="24"/>
        </w:rPr>
      </w:pPr>
      <w:r w:rsidRPr="008B43AB">
        <w:rPr>
          <w:rFonts w:ascii="Arial" w:eastAsiaTheme="minorHAnsi" w:hAnsi="Arial" w:cs="Arial"/>
          <w:sz w:val="24"/>
          <w:szCs w:val="24"/>
        </w:rPr>
        <w:t>Conversioni di boschi cedui all’alto fusto</w:t>
      </w:r>
    </w:p>
    <w:p w14:paraId="4A2F4876" w14:textId="53A6C1E6" w:rsidR="008B43AB" w:rsidRPr="008B43AB" w:rsidRDefault="008B43AB" w:rsidP="00076117">
      <w:pPr>
        <w:pStyle w:val="Paragrafoelenco"/>
        <w:widowControl/>
        <w:numPr>
          <w:ilvl w:val="1"/>
          <w:numId w:val="31"/>
        </w:numPr>
        <w:adjustRightInd w:val="0"/>
        <w:rPr>
          <w:rFonts w:ascii="Arial" w:eastAsiaTheme="minorHAnsi" w:hAnsi="Arial" w:cs="Arial"/>
          <w:sz w:val="24"/>
          <w:szCs w:val="24"/>
        </w:rPr>
      </w:pPr>
      <w:r w:rsidRPr="008B43AB">
        <w:rPr>
          <w:rFonts w:ascii="Arial" w:eastAsiaTheme="minorHAnsi" w:hAnsi="Arial" w:cs="Arial"/>
          <w:sz w:val="24"/>
          <w:szCs w:val="24"/>
        </w:rPr>
        <w:t>Interventi nelle fustaie transitorie</w:t>
      </w:r>
    </w:p>
    <w:p w14:paraId="55FB1352" w14:textId="7F6CC366" w:rsidR="008B43AB" w:rsidRPr="008B43AB" w:rsidRDefault="008B43AB" w:rsidP="00076117">
      <w:pPr>
        <w:pStyle w:val="Corpotesto"/>
        <w:numPr>
          <w:ilvl w:val="1"/>
          <w:numId w:val="31"/>
        </w:numPr>
        <w:ind w:right="45"/>
        <w:jc w:val="both"/>
        <w:rPr>
          <w:rFonts w:ascii="Arial" w:hAnsi="Arial" w:cs="Arial"/>
          <w:sz w:val="24"/>
          <w:szCs w:val="24"/>
        </w:rPr>
      </w:pPr>
      <w:r w:rsidRPr="008B43AB">
        <w:rPr>
          <w:rFonts w:ascii="Arial" w:eastAsiaTheme="minorHAnsi" w:hAnsi="Arial" w:cs="Arial"/>
          <w:sz w:val="24"/>
          <w:szCs w:val="24"/>
        </w:rPr>
        <w:t>Valorizzazione e conservazione delle selve castanili</w:t>
      </w:r>
      <w:r w:rsidR="00A407C7">
        <w:rPr>
          <w:rFonts w:ascii="Arial" w:eastAsiaTheme="minorHAnsi" w:hAnsi="Arial" w:cs="Arial"/>
          <w:sz w:val="24"/>
          <w:szCs w:val="24"/>
        </w:rPr>
        <w:t>.</w:t>
      </w:r>
    </w:p>
    <w:p w14:paraId="0CCA6A37" w14:textId="77777777" w:rsidR="004B0758" w:rsidRDefault="004B0758" w:rsidP="00885593">
      <w:pPr>
        <w:pStyle w:val="Corpotesto"/>
        <w:ind w:right="45" w:firstLine="567"/>
        <w:jc w:val="both"/>
        <w:rPr>
          <w:rFonts w:ascii="Arial" w:hAnsi="Arial" w:cs="Arial"/>
          <w:sz w:val="24"/>
          <w:szCs w:val="24"/>
        </w:rPr>
      </w:pPr>
    </w:p>
    <w:p w14:paraId="35A45658" w14:textId="738A3380" w:rsidR="006A2CD9" w:rsidRPr="006A2CD9" w:rsidRDefault="004B0758" w:rsidP="006A2CD9">
      <w:pPr>
        <w:widowControl/>
        <w:adjustRightInd w:val="0"/>
        <w:ind w:firstLine="567"/>
        <w:rPr>
          <w:rFonts w:ascii="Arial" w:eastAsiaTheme="minorHAnsi" w:hAnsi="Arial" w:cs="Arial"/>
          <w:sz w:val="24"/>
          <w:szCs w:val="24"/>
        </w:rPr>
      </w:pPr>
      <w:r>
        <w:rPr>
          <w:rFonts w:ascii="Arial" w:hAnsi="Arial" w:cs="Arial"/>
          <w:sz w:val="24"/>
          <w:szCs w:val="24"/>
        </w:rPr>
        <w:t>Inoltre</w:t>
      </w:r>
      <w:r w:rsidR="006A2CD9">
        <w:rPr>
          <w:rFonts w:ascii="Arial" w:hAnsi="Arial" w:cs="Arial"/>
          <w:sz w:val="24"/>
          <w:szCs w:val="24"/>
        </w:rPr>
        <w:t>,</w:t>
      </w:r>
      <w:r>
        <w:rPr>
          <w:rFonts w:ascii="Arial" w:hAnsi="Arial" w:cs="Arial"/>
          <w:sz w:val="24"/>
          <w:szCs w:val="24"/>
        </w:rPr>
        <w:t xml:space="preserve"> si considera esplicitamente </w:t>
      </w:r>
      <w:r w:rsidR="006A2CD9" w:rsidRPr="006A2CD9">
        <w:rPr>
          <w:rFonts w:ascii="Arial" w:eastAsiaTheme="minorHAnsi" w:hAnsi="Arial" w:cs="Arial"/>
          <w:sz w:val="24"/>
          <w:szCs w:val="24"/>
        </w:rPr>
        <w:t>il riconoscimento dei servizi ecosistemici resi dalle</w:t>
      </w:r>
      <w:r w:rsidR="006A2CD9">
        <w:rPr>
          <w:rFonts w:ascii="Arial" w:eastAsiaTheme="minorHAnsi" w:hAnsi="Arial" w:cs="Arial"/>
          <w:sz w:val="24"/>
          <w:szCs w:val="24"/>
        </w:rPr>
        <w:t xml:space="preserve"> </w:t>
      </w:r>
      <w:r w:rsidR="006A2CD9" w:rsidRPr="006A2CD9">
        <w:rPr>
          <w:rFonts w:ascii="Arial" w:eastAsiaTheme="minorHAnsi" w:hAnsi="Arial" w:cs="Arial"/>
          <w:sz w:val="24"/>
          <w:szCs w:val="24"/>
        </w:rPr>
        <w:t>foreste</w:t>
      </w:r>
      <w:r w:rsidR="006A2CD9">
        <w:rPr>
          <w:rFonts w:ascii="Arial" w:eastAsiaTheme="minorHAnsi" w:hAnsi="Arial" w:cs="Arial"/>
          <w:sz w:val="24"/>
          <w:szCs w:val="24"/>
        </w:rPr>
        <w:t xml:space="preserve"> mediante strumenti quali</w:t>
      </w:r>
      <w:r w:rsidR="006A2CD9" w:rsidRPr="006A2CD9">
        <w:rPr>
          <w:rFonts w:ascii="Arial" w:eastAsiaTheme="minorHAnsi" w:hAnsi="Arial" w:cs="Arial"/>
          <w:sz w:val="24"/>
          <w:szCs w:val="24"/>
        </w:rPr>
        <w:t>:</w:t>
      </w:r>
    </w:p>
    <w:p w14:paraId="7C9135F9" w14:textId="58657F9B" w:rsidR="006A2CD9" w:rsidRPr="00770951" w:rsidRDefault="006A2CD9" w:rsidP="00076117">
      <w:pPr>
        <w:pStyle w:val="Paragrafoelenco"/>
        <w:widowControl/>
        <w:numPr>
          <w:ilvl w:val="0"/>
          <w:numId w:val="32"/>
        </w:numPr>
        <w:adjustRightInd w:val="0"/>
        <w:rPr>
          <w:rFonts w:ascii="Arial" w:eastAsiaTheme="minorHAnsi" w:hAnsi="Arial" w:cs="Arial"/>
          <w:sz w:val="24"/>
          <w:szCs w:val="24"/>
        </w:rPr>
      </w:pPr>
      <w:r w:rsidRPr="00770951">
        <w:rPr>
          <w:rFonts w:ascii="Arial" w:eastAsiaTheme="minorHAnsi" w:hAnsi="Arial" w:cs="Arial"/>
          <w:sz w:val="24"/>
          <w:szCs w:val="24"/>
        </w:rPr>
        <w:t>Tariffa idrica</w:t>
      </w:r>
    </w:p>
    <w:p w14:paraId="69D080A6" w14:textId="6E118B01" w:rsidR="006A2CD9" w:rsidRPr="00770951" w:rsidRDefault="006A2CD9" w:rsidP="00076117">
      <w:pPr>
        <w:pStyle w:val="Paragrafoelenco"/>
        <w:widowControl/>
        <w:numPr>
          <w:ilvl w:val="0"/>
          <w:numId w:val="32"/>
        </w:numPr>
        <w:adjustRightInd w:val="0"/>
        <w:rPr>
          <w:rFonts w:ascii="Arial" w:eastAsiaTheme="minorHAnsi" w:hAnsi="Arial" w:cs="Arial"/>
          <w:sz w:val="24"/>
          <w:szCs w:val="24"/>
        </w:rPr>
      </w:pPr>
      <w:r w:rsidRPr="00770951">
        <w:rPr>
          <w:rFonts w:ascii="Arial" w:eastAsiaTheme="minorHAnsi" w:hAnsi="Arial" w:cs="Arial"/>
          <w:sz w:val="24"/>
          <w:szCs w:val="24"/>
        </w:rPr>
        <w:t>Biodiversità (indennità Natura 2000)</w:t>
      </w:r>
    </w:p>
    <w:p w14:paraId="3959E2E7" w14:textId="21ACD963" w:rsidR="008B43AB" w:rsidRDefault="006A2CD9" w:rsidP="00076117">
      <w:pPr>
        <w:pStyle w:val="Corpotesto"/>
        <w:numPr>
          <w:ilvl w:val="0"/>
          <w:numId w:val="32"/>
        </w:numPr>
        <w:ind w:right="45"/>
        <w:jc w:val="both"/>
        <w:rPr>
          <w:rFonts w:ascii="Arial" w:eastAsiaTheme="minorHAnsi" w:hAnsi="Arial" w:cs="Arial"/>
          <w:sz w:val="24"/>
          <w:szCs w:val="24"/>
        </w:rPr>
      </w:pPr>
      <w:r w:rsidRPr="006A2CD9">
        <w:rPr>
          <w:rFonts w:ascii="Arial" w:eastAsiaTheme="minorHAnsi" w:hAnsi="Arial" w:cs="Arial"/>
          <w:sz w:val="24"/>
          <w:szCs w:val="24"/>
        </w:rPr>
        <w:t>Crediti di carbonio</w:t>
      </w:r>
      <w:r w:rsidR="00770951">
        <w:rPr>
          <w:rFonts w:ascii="Arial" w:eastAsiaTheme="minorHAnsi" w:hAnsi="Arial" w:cs="Arial"/>
          <w:sz w:val="24"/>
          <w:szCs w:val="24"/>
        </w:rPr>
        <w:t>.</w:t>
      </w:r>
    </w:p>
    <w:p w14:paraId="65BE59FC" w14:textId="6C0F4F6A" w:rsidR="00770951" w:rsidRDefault="00770951" w:rsidP="00770951">
      <w:pPr>
        <w:pStyle w:val="Corpotesto"/>
        <w:ind w:right="45"/>
        <w:jc w:val="both"/>
        <w:rPr>
          <w:rFonts w:ascii="Arial" w:hAnsi="Arial" w:cs="Arial"/>
          <w:sz w:val="24"/>
          <w:szCs w:val="24"/>
        </w:rPr>
      </w:pPr>
    </w:p>
    <w:p w14:paraId="2266823B" w14:textId="0D9AE2A1" w:rsidR="003B5983" w:rsidRDefault="003B5983" w:rsidP="005D1930">
      <w:pPr>
        <w:pStyle w:val="Corpotesto"/>
        <w:ind w:right="45" w:firstLine="567"/>
        <w:jc w:val="both"/>
        <w:rPr>
          <w:rFonts w:ascii="Arial" w:hAnsi="Arial" w:cs="Arial"/>
          <w:sz w:val="24"/>
          <w:szCs w:val="24"/>
        </w:rPr>
      </w:pPr>
      <w:r>
        <w:rPr>
          <w:rFonts w:ascii="Arial" w:hAnsi="Arial" w:cs="Arial"/>
          <w:sz w:val="24"/>
          <w:szCs w:val="24"/>
        </w:rPr>
        <w:t>Alcuni mezzi di pagamento dei SE sono già implementati, come la tariffa idrica messa in atto da Romagna Acque e</w:t>
      </w:r>
      <w:r w:rsidR="009D3A28">
        <w:rPr>
          <w:rFonts w:ascii="Arial" w:hAnsi="Arial" w:cs="Arial"/>
          <w:sz w:val="24"/>
          <w:szCs w:val="24"/>
        </w:rPr>
        <w:t xml:space="preserve"> il pagamento dei tesserini per i cercatori di funghi, ma sui crediti di carbonio manca ancora un approccio </w:t>
      </w:r>
      <w:r w:rsidR="005D1930">
        <w:rPr>
          <w:rFonts w:ascii="Arial" w:hAnsi="Arial" w:cs="Arial"/>
          <w:sz w:val="24"/>
          <w:szCs w:val="24"/>
        </w:rPr>
        <w:t xml:space="preserve">specifico e il Progetto </w:t>
      </w:r>
      <w:r w:rsidR="00811246">
        <w:rPr>
          <w:rFonts w:ascii="Arial" w:hAnsi="Arial" w:cs="Arial"/>
          <w:sz w:val="24"/>
          <w:szCs w:val="24"/>
        </w:rPr>
        <w:t xml:space="preserve">LIFE </w:t>
      </w:r>
      <w:r w:rsidR="005D1930">
        <w:rPr>
          <w:rFonts w:ascii="Arial" w:hAnsi="Arial" w:cs="Arial"/>
          <w:sz w:val="24"/>
          <w:szCs w:val="24"/>
        </w:rPr>
        <w:t xml:space="preserve">CO2PES&amp;PEF può dare un importante contributo in questa direzione. </w:t>
      </w:r>
    </w:p>
    <w:p w14:paraId="7A364BFB" w14:textId="65F368DE" w:rsidR="006650AA" w:rsidRPr="00ED0CAF" w:rsidRDefault="00730135" w:rsidP="005D1930">
      <w:pPr>
        <w:pStyle w:val="Corpotesto"/>
        <w:ind w:right="45" w:firstLine="567"/>
        <w:jc w:val="both"/>
        <w:rPr>
          <w:rFonts w:ascii="Arial" w:hAnsi="Arial" w:cs="Arial"/>
          <w:sz w:val="24"/>
          <w:szCs w:val="24"/>
        </w:rPr>
      </w:pPr>
      <w:r>
        <w:rPr>
          <w:rFonts w:ascii="Arial" w:hAnsi="Arial" w:cs="Arial"/>
          <w:sz w:val="24"/>
          <w:szCs w:val="24"/>
        </w:rPr>
        <w:t xml:space="preserve">Un altro </w:t>
      </w:r>
      <w:r w:rsidR="00D449AA">
        <w:rPr>
          <w:rFonts w:ascii="Arial" w:hAnsi="Arial" w:cs="Arial"/>
          <w:sz w:val="24"/>
          <w:szCs w:val="24"/>
        </w:rPr>
        <w:t>strumento molto importante che è stato sviluppato dalla Regione Emilia</w:t>
      </w:r>
      <w:r w:rsidR="00233D5A">
        <w:rPr>
          <w:rFonts w:ascii="Arial" w:hAnsi="Arial" w:cs="Arial"/>
          <w:sz w:val="24"/>
          <w:szCs w:val="24"/>
        </w:rPr>
        <w:t>-</w:t>
      </w:r>
      <w:r w:rsidR="00D449AA">
        <w:rPr>
          <w:rFonts w:ascii="Arial" w:hAnsi="Arial" w:cs="Arial"/>
          <w:sz w:val="24"/>
          <w:szCs w:val="24"/>
        </w:rPr>
        <w:t xml:space="preserve">Romagna </w:t>
      </w:r>
      <w:r w:rsidR="00D90F61">
        <w:rPr>
          <w:rFonts w:ascii="Arial" w:hAnsi="Arial" w:cs="Arial"/>
          <w:sz w:val="24"/>
          <w:szCs w:val="24"/>
        </w:rPr>
        <w:t xml:space="preserve">è stata la </w:t>
      </w:r>
      <w:r w:rsidR="00D90F61" w:rsidRPr="00D90F61">
        <w:rPr>
          <w:rFonts w:ascii="Arial" w:hAnsi="Arial" w:cs="Arial"/>
          <w:sz w:val="24"/>
          <w:szCs w:val="24"/>
        </w:rPr>
        <w:t>Delibera Regionale</w:t>
      </w:r>
      <w:r w:rsidR="00D90F61">
        <w:rPr>
          <w:rFonts w:ascii="Arial" w:hAnsi="Arial" w:cs="Arial"/>
          <w:sz w:val="24"/>
          <w:szCs w:val="24"/>
        </w:rPr>
        <w:t xml:space="preserve"> </w:t>
      </w:r>
      <w:r w:rsidR="00233D5A" w:rsidRPr="00233D5A">
        <w:rPr>
          <w:rFonts w:ascii="Arial" w:hAnsi="Arial" w:cs="Arial"/>
          <w:sz w:val="24"/>
          <w:szCs w:val="24"/>
        </w:rPr>
        <w:t>766/2003</w:t>
      </w:r>
      <w:r w:rsidR="00233D5A">
        <w:rPr>
          <w:rFonts w:ascii="Arial" w:hAnsi="Arial" w:cs="Arial"/>
          <w:sz w:val="24"/>
          <w:szCs w:val="24"/>
        </w:rPr>
        <w:t xml:space="preserve"> che riguarda l’”</w:t>
      </w:r>
      <w:r w:rsidR="006650AA" w:rsidRPr="00233D5A">
        <w:rPr>
          <w:rFonts w:ascii="Arial" w:hAnsi="Arial" w:cs="Arial"/>
          <w:i/>
          <w:iCs/>
          <w:sz w:val="24"/>
          <w:szCs w:val="24"/>
        </w:rPr>
        <w:t>Approvazione del Sistema Informativo per l'Assestamento Forestale in Emilia-Romagna (aggiornamento delle norme metodologiche per la realizzazione dei Piani di Assestamento Forestale)</w:t>
      </w:r>
      <w:r w:rsidR="00233D5A" w:rsidRPr="00233D5A">
        <w:rPr>
          <w:rFonts w:ascii="Arial" w:hAnsi="Arial" w:cs="Arial"/>
          <w:i/>
          <w:iCs/>
          <w:sz w:val="24"/>
          <w:szCs w:val="24"/>
        </w:rPr>
        <w:t>.</w:t>
      </w:r>
      <w:r w:rsidR="00084769">
        <w:rPr>
          <w:rFonts w:ascii="Arial" w:hAnsi="Arial" w:cs="Arial"/>
          <w:i/>
          <w:iCs/>
          <w:sz w:val="24"/>
          <w:szCs w:val="24"/>
        </w:rPr>
        <w:t xml:space="preserve"> </w:t>
      </w:r>
      <w:r w:rsidR="00084769" w:rsidRPr="00ED0CAF">
        <w:rPr>
          <w:rFonts w:ascii="Arial" w:hAnsi="Arial" w:cs="Arial"/>
          <w:sz w:val="24"/>
          <w:szCs w:val="24"/>
        </w:rPr>
        <w:t>In essa</w:t>
      </w:r>
      <w:r w:rsidR="00ED0CAF">
        <w:rPr>
          <w:rFonts w:ascii="Arial" w:hAnsi="Arial" w:cs="Arial"/>
          <w:sz w:val="24"/>
          <w:szCs w:val="24"/>
        </w:rPr>
        <w:t>,</w:t>
      </w:r>
      <w:r w:rsidR="00084769" w:rsidRPr="00ED0CAF">
        <w:rPr>
          <w:rFonts w:ascii="Arial" w:hAnsi="Arial" w:cs="Arial"/>
          <w:sz w:val="24"/>
          <w:szCs w:val="24"/>
        </w:rPr>
        <w:t xml:space="preserve"> infatti</w:t>
      </w:r>
      <w:r w:rsidR="00ED0CAF">
        <w:rPr>
          <w:rFonts w:ascii="Arial" w:hAnsi="Arial" w:cs="Arial"/>
          <w:sz w:val="24"/>
          <w:szCs w:val="24"/>
        </w:rPr>
        <w:t>,</w:t>
      </w:r>
      <w:r w:rsidR="00084769" w:rsidRPr="00ED0CAF">
        <w:rPr>
          <w:rFonts w:ascii="Arial" w:hAnsi="Arial" w:cs="Arial"/>
          <w:sz w:val="24"/>
          <w:szCs w:val="24"/>
        </w:rPr>
        <w:t xml:space="preserve"> si </w:t>
      </w:r>
      <w:r w:rsidR="0022383E" w:rsidRPr="00ED0CAF">
        <w:rPr>
          <w:rFonts w:ascii="Arial" w:hAnsi="Arial" w:cs="Arial"/>
          <w:sz w:val="24"/>
          <w:szCs w:val="24"/>
        </w:rPr>
        <w:t xml:space="preserve">stabiliscono </w:t>
      </w:r>
      <w:r w:rsidR="00084769" w:rsidRPr="00ED0CAF">
        <w:rPr>
          <w:rFonts w:ascii="Arial" w:hAnsi="Arial" w:cs="Arial"/>
          <w:sz w:val="24"/>
          <w:szCs w:val="24"/>
        </w:rPr>
        <w:t>norme metodologiche per la realizzazione dei Piani di Assestamento Forestale</w:t>
      </w:r>
      <w:r w:rsidR="0022383E" w:rsidRPr="00ED0CAF">
        <w:rPr>
          <w:rFonts w:ascii="Arial" w:hAnsi="Arial" w:cs="Arial"/>
          <w:sz w:val="24"/>
          <w:szCs w:val="24"/>
        </w:rPr>
        <w:t>, come la</w:t>
      </w:r>
      <w:r w:rsidR="00084769" w:rsidRPr="00ED0CAF">
        <w:rPr>
          <w:rFonts w:ascii="Arial" w:hAnsi="Arial" w:cs="Arial"/>
          <w:sz w:val="24"/>
          <w:szCs w:val="24"/>
        </w:rPr>
        <w:t xml:space="preserve"> metodologia "Progetto</w:t>
      </w:r>
      <w:r w:rsidR="00D54CD0">
        <w:rPr>
          <w:rFonts w:ascii="Arial" w:hAnsi="Arial" w:cs="Arial"/>
          <w:sz w:val="24"/>
          <w:szCs w:val="24"/>
        </w:rPr>
        <w:t xml:space="preserve"> </w:t>
      </w:r>
      <w:r w:rsidR="00084769" w:rsidRPr="00ED0CAF">
        <w:rPr>
          <w:rFonts w:ascii="Arial" w:hAnsi="Arial" w:cs="Arial"/>
          <w:sz w:val="24"/>
          <w:szCs w:val="24"/>
        </w:rPr>
        <w:t>bosco"</w:t>
      </w:r>
      <w:r w:rsidR="00ED0CAF" w:rsidRPr="00ED0CAF">
        <w:rPr>
          <w:rFonts w:ascii="Arial" w:hAnsi="Arial" w:cs="Arial"/>
          <w:sz w:val="24"/>
          <w:szCs w:val="24"/>
        </w:rPr>
        <w:t>, che sono state avviate</w:t>
      </w:r>
      <w:r w:rsidR="00084769" w:rsidRPr="00ED0CAF">
        <w:rPr>
          <w:rFonts w:ascii="Arial" w:hAnsi="Arial" w:cs="Arial"/>
          <w:sz w:val="24"/>
          <w:szCs w:val="24"/>
        </w:rPr>
        <w:t xml:space="preserve"> sperimentalmente </w:t>
      </w:r>
      <w:r w:rsidR="00ED0CAF" w:rsidRPr="00ED0CAF">
        <w:rPr>
          <w:rFonts w:ascii="Arial" w:hAnsi="Arial" w:cs="Arial"/>
          <w:sz w:val="24"/>
          <w:szCs w:val="24"/>
        </w:rPr>
        <w:t>nella Regione</w:t>
      </w:r>
      <w:r w:rsidR="00084769" w:rsidRPr="00ED0CAF">
        <w:rPr>
          <w:rFonts w:ascii="Arial" w:hAnsi="Arial" w:cs="Arial"/>
          <w:sz w:val="24"/>
          <w:szCs w:val="24"/>
        </w:rPr>
        <w:t xml:space="preserve"> e poi adottat</w:t>
      </w:r>
      <w:r w:rsidR="00ED0CAF" w:rsidRPr="00ED0CAF">
        <w:rPr>
          <w:rFonts w:ascii="Arial" w:hAnsi="Arial" w:cs="Arial"/>
          <w:sz w:val="24"/>
          <w:szCs w:val="24"/>
        </w:rPr>
        <w:t>e</w:t>
      </w:r>
      <w:r w:rsidR="00084769" w:rsidRPr="00ED0CAF">
        <w:rPr>
          <w:rFonts w:ascii="Arial" w:hAnsi="Arial" w:cs="Arial"/>
          <w:sz w:val="24"/>
          <w:szCs w:val="24"/>
        </w:rPr>
        <w:t xml:space="preserve"> da molte </w:t>
      </w:r>
      <w:r w:rsidR="00ED0CAF" w:rsidRPr="00ED0CAF">
        <w:rPr>
          <w:rFonts w:ascii="Arial" w:hAnsi="Arial" w:cs="Arial"/>
          <w:sz w:val="24"/>
          <w:szCs w:val="24"/>
        </w:rPr>
        <w:t xml:space="preserve">altre </w:t>
      </w:r>
      <w:r w:rsidR="00084769" w:rsidRPr="00ED0CAF">
        <w:rPr>
          <w:rFonts w:ascii="Arial" w:hAnsi="Arial" w:cs="Arial"/>
          <w:sz w:val="24"/>
          <w:szCs w:val="24"/>
        </w:rPr>
        <w:t>Regioni</w:t>
      </w:r>
      <w:r w:rsidR="00ED0CAF" w:rsidRPr="00ED0CAF">
        <w:rPr>
          <w:rFonts w:ascii="Arial" w:hAnsi="Arial" w:cs="Arial"/>
          <w:sz w:val="24"/>
          <w:szCs w:val="24"/>
        </w:rPr>
        <w:t>.</w:t>
      </w:r>
    </w:p>
    <w:p w14:paraId="09F31276" w14:textId="3A582936" w:rsidR="002E0C7C" w:rsidRDefault="00D45286" w:rsidP="007F40A1">
      <w:pPr>
        <w:pStyle w:val="Corpotesto"/>
        <w:ind w:right="45" w:firstLine="567"/>
        <w:jc w:val="both"/>
        <w:rPr>
          <w:rFonts w:ascii="Arial" w:hAnsi="Arial" w:cs="Arial"/>
          <w:sz w:val="24"/>
          <w:szCs w:val="24"/>
        </w:rPr>
      </w:pPr>
      <w:r>
        <w:rPr>
          <w:rFonts w:ascii="Arial" w:hAnsi="Arial" w:cs="Arial"/>
          <w:sz w:val="24"/>
          <w:szCs w:val="24"/>
        </w:rPr>
        <w:t>Anche nella Regione Autonoma Friuli Venezia Giulia si</w:t>
      </w:r>
      <w:r w:rsidR="00B15107">
        <w:rPr>
          <w:rFonts w:ascii="Arial" w:hAnsi="Arial" w:cs="Arial"/>
          <w:sz w:val="24"/>
          <w:szCs w:val="24"/>
        </w:rPr>
        <w:t xml:space="preserve"> è</w:t>
      </w:r>
      <w:r>
        <w:rPr>
          <w:rFonts w:ascii="Arial" w:hAnsi="Arial" w:cs="Arial"/>
          <w:sz w:val="24"/>
          <w:szCs w:val="24"/>
        </w:rPr>
        <w:t xml:space="preserve"> approcciato il tema dei servizi ecosistemi e il loro pagamento</w:t>
      </w:r>
      <w:r w:rsidR="00811EED">
        <w:rPr>
          <w:rFonts w:ascii="Arial" w:hAnsi="Arial" w:cs="Arial"/>
          <w:sz w:val="24"/>
          <w:szCs w:val="24"/>
        </w:rPr>
        <w:t xml:space="preserve"> l</w:t>
      </w:r>
      <w:r w:rsidR="00811EED" w:rsidRPr="00811EED">
        <w:rPr>
          <w:rFonts w:ascii="Arial" w:hAnsi="Arial" w:cs="Arial"/>
          <w:sz w:val="24"/>
          <w:szCs w:val="24"/>
        </w:rPr>
        <w:t xml:space="preserve">egge </w:t>
      </w:r>
      <w:r w:rsidR="00A474DB">
        <w:rPr>
          <w:rFonts w:ascii="Arial" w:hAnsi="Arial" w:cs="Arial"/>
          <w:sz w:val="24"/>
          <w:szCs w:val="24"/>
        </w:rPr>
        <w:t>regionale</w:t>
      </w:r>
      <w:r w:rsidR="00A474DB" w:rsidRPr="00A474DB">
        <w:rPr>
          <w:rFonts w:ascii="Arial" w:hAnsi="Arial" w:cs="Arial"/>
          <w:sz w:val="24"/>
          <w:szCs w:val="24"/>
        </w:rPr>
        <w:t xml:space="preserve"> 45 del 28 dicembre 2017</w:t>
      </w:r>
      <w:r w:rsidR="00A474DB">
        <w:rPr>
          <w:rFonts w:ascii="Arial" w:hAnsi="Arial" w:cs="Arial"/>
          <w:sz w:val="24"/>
          <w:szCs w:val="24"/>
        </w:rPr>
        <w:t>, dove all’</w:t>
      </w:r>
      <w:r w:rsidR="00A474DB" w:rsidRPr="00A474DB">
        <w:rPr>
          <w:rFonts w:ascii="Arial" w:hAnsi="Arial" w:cs="Arial"/>
          <w:sz w:val="24"/>
          <w:szCs w:val="24"/>
        </w:rPr>
        <w:t xml:space="preserve"> art. 3 comma 24</w:t>
      </w:r>
      <w:r w:rsidR="00A474DB">
        <w:rPr>
          <w:rFonts w:ascii="Arial" w:hAnsi="Arial" w:cs="Arial"/>
          <w:sz w:val="24"/>
          <w:szCs w:val="24"/>
        </w:rPr>
        <w:t xml:space="preserve"> si </w:t>
      </w:r>
      <w:r w:rsidR="00D227D5">
        <w:rPr>
          <w:rFonts w:ascii="Arial" w:hAnsi="Arial" w:cs="Arial"/>
          <w:sz w:val="24"/>
          <w:szCs w:val="24"/>
        </w:rPr>
        <w:t>stabilisce di “</w:t>
      </w:r>
      <w:r w:rsidR="00A002F6" w:rsidRPr="00A002F6">
        <w:rPr>
          <w:rFonts w:ascii="Arial" w:hAnsi="Arial" w:cs="Arial"/>
          <w:i/>
          <w:iCs/>
          <w:sz w:val="24"/>
          <w:szCs w:val="24"/>
        </w:rPr>
        <w:t>f</w:t>
      </w:r>
      <w:r w:rsidR="00D227D5" w:rsidRPr="00D227D5">
        <w:rPr>
          <w:rFonts w:ascii="Arial" w:hAnsi="Arial" w:cs="Arial"/>
          <w:i/>
          <w:iCs/>
          <w:sz w:val="24"/>
          <w:szCs w:val="24"/>
        </w:rPr>
        <w:t>inanziare</w:t>
      </w:r>
      <w:r w:rsidR="00811EED" w:rsidRPr="00D227D5">
        <w:rPr>
          <w:rFonts w:ascii="Arial" w:hAnsi="Arial" w:cs="Arial"/>
          <w:i/>
          <w:iCs/>
          <w:sz w:val="24"/>
          <w:szCs w:val="24"/>
        </w:rPr>
        <w:t xml:space="preserve"> la realizzazione di uno o più progetti di ricerca concernente la generazione di nuove opportunità di reddito e sviluppo di servizi ecosistemici nelle aree boscate della Regione ritenute più idonee alla predisposizione di percorsi di terapia forestale per il turismo, la salute e il benessere sostenibile</w:t>
      </w:r>
      <w:r w:rsidR="00811EED" w:rsidRPr="00811EED">
        <w:rPr>
          <w:rFonts w:ascii="Arial" w:hAnsi="Arial" w:cs="Arial"/>
          <w:sz w:val="24"/>
          <w:szCs w:val="24"/>
        </w:rPr>
        <w:t>.</w:t>
      </w:r>
      <w:r w:rsidR="003B5983">
        <w:rPr>
          <w:rFonts w:ascii="Arial" w:hAnsi="Arial" w:cs="Arial"/>
          <w:sz w:val="24"/>
          <w:szCs w:val="24"/>
        </w:rPr>
        <w:t xml:space="preserve"> </w:t>
      </w:r>
      <w:r w:rsidR="00A002F6">
        <w:rPr>
          <w:rFonts w:ascii="Arial" w:hAnsi="Arial" w:cs="Arial"/>
          <w:sz w:val="24"/>
          <w:szCs w:val="24"/>
        </w:rPr>
        <w:t xml:space="preserve">Un altro elemento </w:t>
      </w:r>
      <w:r w:rsidR="00A92232">
        <w:rPr>
          <w:rFonts w:ascii="Arial" w:hAnsi="Arial" w:cs="Arial"/>
          <w:sz w:val="24"/>
          <w:szCs w:val="24"/>
        </w:rPr>
        <w:t>di PES</w:t>
      </w:r>
      <w:r w:rsidR="00FB0FE3">
        <w:rPr>
          <w:rFonts w:ascii="Arial" w:hAnsi="Arial" w:cs="Arial"/>
          <w:sz w:val="24"/>
          <w:szCs w:val="24"/>
        </w:rPr>
        <w:t xml:space="preserve">, con riferimento alla funzione culturale, </w:t>
      </w:r>
      <w:r w:rsidR="00B036F3">
        <w:rPr>
          <w:rFonts w:ascii="Arial" w:hAnsi="Arial" w:cs="Arial"/>
          <w:sz w:val="24"/>
          <w:szCs w:val="24"/>
        </w:rPr>
        <w:t xml:space="preserve">riguarda </w:t>
      </w:r>
      <w:r w:rsidR="00CD1AEE">
        <w:rPr>
          <w:rFonts w:ascii="Arial" w:hAnsi="Arial" w:cs="Arial"/>
          <w:sz w:val="24"/>
          <w:szCs w:val="24"/>
        </w:rPr>
        <w:t>il pagamento dei tesserini per i cercatori di funghi</w:t>
      </w:r>
      <w:r w:rsidR="00B036F3">
        <w:rPr>
          <w:rStyle w:val="Rimandonotaapidipagina"/>
          <w:rFonts w:ascii="Arial" w:hAnsi="Arial" w:cs="Arial"/>
          <w:sz w:val="24"/>
          <w:szCs w:val="24"/>
        </w:rPr>
        <w:footnoteReference w:id="62"/>
      </w:r>
      <w:r w:rsidR="00D70712">
        <w:rPr>
          <w:rFonts w:ascii="Arial" w:hAnsi="Arial" w:cs="Arial"/>
          <w:sz w:val="24"/>
          <w:szCs w:val="24"/>
        </w:rPr>
        <w:t xml:space="preserve">. </w:t>
      </w:r>
    </w:p>
    <w:p w14:paraId="7E85450A" w14:textId="14069228" w:rsidR="00770951" w:rsidRDefault="00811246" w:rsidP="007F40A1">
      <w:pPr>
        <w:pStyle w:val="Corpotesto"/>
        <w:ind w:right="45" w:firstLine="567"/>
        <w:jc w:val="both"/>
        <w:rPr>
          <w:rFonts w:ascii="Arial" w:hAnsi="Arial" w:cs="Arial"/>
          <w:sz w:val="24"/>
          <w:szCs w:val="24"/>
        </w:rPr>
      </w:pPr>
      <w:r>
        <w:rPr>
          <w:rFonts w:ascii="Arial" w:hAnsi="Arial" w:cs="Arial"/>
          <w:sz w:val="24"/>
          <w:szCs w:val="24"/>
        </w:rPr>
        <w:t>Ha</w:t>
      </w:r>
      <w:r w:rsidR="00D70712">
        <w:rPr>
          <w:rFonts w:ascii="Arial" w:hAnsi="Arial" w:cs="Arial"/>
          <w:sz w:val="24"/>
          <w:szCs w:val="24"/>
        </w:rPr>
        <w:t xml:space="preserve"> </w:t>
      </w:r>
      <w:r>
        <w:rPr>
          <w:rFonts w:ascii="Arial" w:hAnsi="Arial" w:cs="Arial"/>
          <w:sz w:val="24"/>
          <w:szCs w:val="24"/>
        </w:rPr>
        <w:t>inoltre</w:t>
      </w:r>
      <w:r w:rsidR="00D70712">
        <w:rPr>
          <w:rFonts w:ascii="Arial" w:hAnsi="Arial" w:cs="Arial"/>
          <w:sz w:val="24"/>
          <w:szCs w:val="24"/>
        </w:rPr>
        <w:t xml:space="preserve"> approcciato direttamente </w:t>
      </w:r>
      <w:r w:rsidR="00E6152A">
        <w:rPr>
          <w:rFonts w:ascii="Arial" w:hAnsi="Arial" w:cs="Arial"/>
          <w:sz w:val="24"/>
          <w:szCs w:val="24"/>
        </w:rPr>
        <w:t xml:space="preserve">il tema dell’emissione dei crediti di carbonio tramite il Progetto LIFE </w:t>
      </w:r>
      <w:proofErr w:type="spellStart"/>
      <w:r w:rsidR="00E6152A">
        <w:rPr>
          <w:rFonts w:ascii="Arial" w:hAnsi="Arial" w:cs="Arial"/>
          <w:sz w:val="24"/>
          <w:szCs w:val="24"/>
        </w:rPr>
        <w:t>Carbonmark</w:t>
      </w:r>
      <w:proofErr w:type="spellEnd"/>
      <w:r w:rsidR="00E6152A">
        <w:rPr>
          <w:rFonts w:ascii="Arial" w:hAnsi="Arial" w:cs="Arial"/>
          <w:sz w:val="24"/>
          <w:szCs w:val="24"/>
        </w:rPr>
        <w:t xml:space="preserve">, che ha generato un set di crediti che sono stati acquistati da enti pubblici locali. </w:t>
      </w:r>
      <w:r w:rsidR="007F40A1">
        <w:rPr>
          <w:rFonts w:ascii="Arial" w:hAnsi="Arial" w:cs="Arial"/>
          <w:sz w:val="24"/>
          <w:szCs w:val="24"/>
        </w:rPr>
        <w:t xml:space="preserve">Tuttavia, vi è una quantità di crediti che è stata generata che non riesce ad essere collocata sul mercato. </w:t>
      </w:r>
    </w:p>
    <w:p w14:paraId="56A6F29C" w14:textId="232057A7" w:rsidR="007F40A1" w:rsidRDefault="007730A9" w:rsidP="007F40A1">
      <w:pPr>
        <w:pStyle w:val="Corpotesto"/>
        <w:ind w:right="45" w:firstLine="567"/>
        <w:jc w:val="both"/>
        <w:rPr>
          <w:rFonts w:ascii="Arial" w:hAnsi="Arial" w:cs="Arial"/>
          <w:sz w:val="24"/>
          <w:szCs w:val="24"/>
        </w:rPr>
      </w:pPr>
      <w:r>
        <w:rPr>
          <w:rFonts w:ascii="Arial" w:hAnsi="Arial" w:cs="Arial"/>
          <w:sz w:val="24"/>
          <w:szCs w:val="24"/>
        </w:rPr>
        <w:t xml:space="preserve">Il tema dovrà essere affrontato nelle Azioni C4 e C5, ma </w:t>
      </w:r>
      <w:r w:rsidR="00334C3C">
        <w:rPr>
          <w:rFonts w:ascii="Arial" w:hAnsi="Arial" w:cs="Arial"/>
          <w:sz w:val="24"/>
          <w:szCs w:val="24"/>
        </w:rPr>
        <w:t>alla base di questa difficoltà di collocazione emergono due criticità:</w:t>
      </w:r>
    </w:p>
    <w:p w14:paraId="5129C1A6" w14:textId="3A20CA3B" w:rsidR="00334C3C" w:rsidRDefault="00334C3C" w:rsidP="00076117">
      <w:pPr>
        <w:pStyle w:val="Corpotesto"/>
        <w:numPr>
          <w:ilvl w:val="0"/>
          <w:numId w:val="33"/>
        </w:numPr>
        <w:ind w:right="45"/>
        <w:jc w:val="both"/>
        <w:rPr>
          <w:rFonts w:ascii="Arial" w:hAnsi="Arial" w:cs="Arial"/>
          <w:sz w:val="24"/>
          <w:szCs w:val="24"/>
        </w:rPr>
      </w:pPr>
      <w:r>
        <w:rPr>
          <w:rFonts w:ascii="Arial" w:hAnsi="Arial" w:cs="Arial"/>
          <w:sz w:val="24"/>
          <w:szCs w:val="24"/>
        </w:rPr>
        <w:t>La difficoltà del mondo delle</w:t>
      </w:r>
      <w:r w:rsidR="00286546">
        <w:rPr>
          <w:rFonts w:ascii="Arial" w:hAnsi="Arial" w:cs="Arial"/>
          <w:sz w:val="24"/>
          <w:szCs w:val="24"/>
        </w:rPr>
        <w:t xml:space="preserve"> imprese di riconoscere i crediti come validi e certi</w:t>
      </w:r>
      <w:r w:rsidR="00D3052C">
        <w:rPr>
          <w:rFonts w:ascii="Arial" w:hAnsi="Arial" w:cs="Arial"/>
          <w:sz w:val="24"/>
          <w:szCs w:val="24"/>
        </w:rPr>
        <w:t xml:space="preserve">, </w:t>
      </w:r>
      <w:r w:rsidR="00B63112">
        <w:rPr>
          <w:rFonts w:ascii="Arial" w:hAnsi="Arial" w:cs="Arial"/>
          <w:sz w:val="24"/>
          <w:szCs w:val="24"/>
        </w:rPr>
        <w:t>in quanto mancano le procedure di certificazione</w:t>
      </w:r>
      <w:r w:rsidR="00286546">
        <w:rPr>
          <w:rFonts w:ascii="Arial" w:hAnsi="Arial" w:cs="Arial"/>
          <w:sz w:val="24"/>
          <w:szCs w:val="24"/>
        </w:rPr>
        <w:t>;</w:t>
      </w:r>
    </w:p>
    <w:p w14:paraId="451CE6C2" w14:textId="1D159E30" w:rsidR="00286546" w:rsidRDefault="00286546" w:rsidP="00076117">
      <w:pPr>
        <w:pStyle w:val="Corpotesto"/>
        <w:numPr>
          <w:ilvl w:val="0"/>
          <w:numId w:val="33"/>
        </w:numPr>
        <w:ind w:right="45"/>
        <w:jc w:val="both"/>
        <w:rPr>
          <w:rFonts w:ascii="Arial" w:hAnsi="Arial" w:cs="Arial"/>
          <w:sz w:val="24"/>
          <w:szCs w:val="24"/>
        </w:rPr>
      </w:pPr>
      <w:r>
        <w:rPr>
          <w:rFonts w:ascii="Arial" w:hAnsi="Arial" w:cs="Arial"/>
          <w:sz w:val="24"/>
          <w:szCs w:val="24"/>
        </w:rPr>
        <w:t>la</w:t>
      </w:r>
      <w:r w:rsidR="00E805DE">
        <w:rPr>
          <w:rFonts w:ascii="Arial" w:hAnsi="Arial" w:cs="Arial"/>
          <w:sz w:val="24"/>
          <w:szCs w:val="24"/>
        </w:rPr>
        <w:t xml:space="preserve"> mancanza di strumenti </w:t>
      </w:r>
      <w:r w:rsidR="00436E09">
        <w:rPr>
          <w:rFonts w:ascii="Arial" w:hAnsi="Arial" w:cs="Arial"/>
          <w:sz w:val="24"/>
          <w:szCs w:val="24"/>
        </w:rPr>
        <w:t>che consentano di valutare la compensazione con le proprie emissioni</w:t>
      </w:r>
      <w:r w:rsidR="00634E2F">
        <w:rPr>
          <w:rFonts w:ascii="Arial" w:hAnsi="Arial" w:cs="Arial"/>
          <w:sz w:val="24"/>
          <w:szCs w:val="24"/>
        </w:rPr>
        <w:t xml:space="preserve"> da parte delle imprese, quali analisi LCA, </w:t>
      </w:r>
      <w:proofErr w:type="spellStart"/>
      <w:r w:rsidR="00634E2F">
        <w:rPr>
          <w:rFonts w:ascii="Arial" w:hAnsi="Arial" w:cs="Arial"/>
          <w:sz w:val="24"/>
          <w:szCs w:val="24"/>
        </w:rPr>
        <w:t>carbonfooprint</w:t>
      </w:r>
      <w:proofErr w:type="spellEnd"/>
      <w:r w:rsidR="00634E2F">
        <w:rPr>
          <w:rFonts w:ascii="Arial" w:hAnsi="Arial" w:cs="Arial"/>
          <w:sz w:val="24"/>
          <w:szCs w:val="24"/>
        </w:rPr>
        <w:t xml:space="preserve">, etc. </w:t>
      </w:r>
    </w:p>
    <w:p w14:paraId="61626237" w14:textId="2E73D9B1" w:rsidR="00634E2F" w:rsidRDefault="00CB66A7" w:rsidP="00076117">
      <w:pPr>
        <w:pStyle w:val="Corpotesto"/>
        <w:numPr>
          <w:ilvl w:val="0"/>
          <w:numId w:val="33"/>
        </w:numPr>
        <w:ind w:right="45"/>
        <w:jc w:val="both"/>
        <w:rPr>
          <w:rFonts w:ascii="Arial" w:hAnsi="Arial" w:cs="Arial"/>
          <w:sz w:val="24"/>
          <w:szCs w:val="24"/>
        </w:rPr>
      </w:pPr>
      <w:r>
        <w:rPr>
          <w:rFonts w:ascii="Arial" w:hAnsi="Arial" w:cs="Arial"/>
          <w:sz w:val="24"/>
          <w:szCs w:val="24"/>
        </w:rPr>
        <w:t xml:space="preserve">la necessità di una piattaforma che li possa rendere più facilmente scambiabili, anche attraverso adeguate azioni di marketing. </w:t>
      </w:r>
    </w:p>
    <w:p w14:paraId="2D732B67" w14:textId="77777777" w:rsidR="00CB66A7" w:rsidRDefault="00CB66A7" w:rsidP="007F40A1">
      <w:pPr>
        <w:pStyle w:val="Corpotesto"/>
        <w:ind w:right="45" w:firstLine="567"/>
        <w:jc w:val="both"/>
        <w:rPr>
          <w:rFonts w:ascii="Arial" w:hAnsi="Arial" w:cs="Arial"/>
          <w:sz w:val="24"/>
          <w:szCs w:val="24"/>
        </w:rPr>
      </w:pPr>
    </w:p>
    <w:p w14:paraId="4B328010" w14:textId="285B6E16" w:rsidR="007F40A1" w:rsidRPr="006A2CD9" w:rsidRDefault="00434179" w:rsidP="00434179">
      <w:pPr>
        <w:pStyle w:val="Corpotesto"/>
        <w:ind w:right="45" w:firstLine="567"/>
        <w:jc w:val="both"/>
        <w:rPr>
          <w:rFonts w:ascii="Arial" w:hAnsi="Arial" w:cs="Arial"/>
          <w:sz w:val="24"/>
          <w:szCs w:val="24"/>
        </w:rPr>
      </w:pPr>
      <w:r>
        <w:rPr>
          <w:rFonts w:ascii="Arial" w:hAnsi="Arial" w:cs="Arial"/>
          <w:sz w:val="24"/>
          <w:szCs w:val="24"/>
        </w:rPr>
        <w:t xml:space="preserve">Si tratta comunque di un’esperienza di notevole rilievo che il progetto si propone di valorizzare adeguatamente. </w:t>
      </w:r>
    </w:p>
    <w:p w14:paraId="5CA86ADA" w14:textId="3A7CEFBD" w:rsidR="00E8444A" w:rsidRDefault="00E8444A">
      <w:pPr>
        <w:rPr>
          <w:rFonts w:ascii="Arial" w:hAnsi="Arial" w:cs="Arial"/>
          <w:sz w:val="24"/>
          <w:szCs w:val="24"/>
        </w:rPr>
      </w:pPr>
    </w:p>
    <w:p w14:paraId="16F03A47" w14:textId="77777777" w:rsidR="00885593" w:rsidRDefault="00885593" w:rsidP="006332E1">
      <w:pPr>
        <w:pStyle w:val="Corpotesto"/>
        <w:ind w:right="45"/>
        <w:jc w:val="both"/>
        <w:rPr>
          <w:rFonts w:ascii="Arial" w:hAnsi="Arial" w:cs="Arial"/>
          <w:sz w:val="24"/>
          <w:szCs w:val="24"/>
        </w:rPr>
      </w:pPr>
    </w:p>
    <w:p w14:paraId="17F164E3" w14:textId="70181389" w:rsidR="000A2FFD" w:rsidRDefault="00E16D1A" w:rsidP="00E16D1A">
      <w:pPr>
        <w:pStyle w:val="Titolo1"/>
      </w:pPr>
      <w:bookmarkStart w:id="18" w:name="_Toc74265407"/>
      <w:r>
        <w:t>Il Protocollo di Kyoto</w:t>
      </w:r>
      <w:r w:rsidR="008D59B6">
        <w:t xml:space="preserve"> e il meccanismo CDM</w:t>
      </w:r>
      <w:bookmarkEnd w:id="18"/>
    </w:p>
    <w:p w14:paraId="08E2D769" w14:textId="7CD90D1D" w:rsidR="000A2FFD" w:rsidRDefault="000A2FFD" w:rsidP="006332E1">
      <w:pPr>
        <w:pStyle w:val="Corpotesto"/>
        <w:ind w:right="45"/>
        <w:jc w:val="both"/>
        <w:rPr>
          <w:rFonts w:ascii="Arial" w:hAnsi="Arial" w:cs="Arial"/>
          <w:sz w:val="24"/>
          <w:szCs w:val="24"/>
        </w:rPr>
      </w:pPr>
    </w:p>
    <w:p w14:paraId="11958437" w14:textId="5B21BFFA" w:rsidR="00125F07" w:rsidRPr="00965D82" w:rsidRDefault="00125F07" w:rsidP="00965D82">
      <w:pPr>
        <w:widowControl/>
        <w:adjustRightInd w:val="0"/>
        <w:ind w:firstLine="567"/>
        <w:jc w:val="both"/>
        <w:rPr>
          <w:rFonts w:ascii="Arial" w:eastAsiaTheme="minorHAnsi" w:hAnsi="Arial" w:cs="Arial"/>
          <w:sz w:val="24"/>
          <w:szCs w:val="24"/>
        </w:rPr>
      </w:pPr>
      <w:r w:rsidRPr="00965D82">
        <w:rPr>
          <w:rFonts w:ascii="Arial" w:eastAsiaTheme="minorHAnsi" w:hAnsi="Arial" w:cs="Arial"/>
          <w:sz w:val="24"/>
          <w:szCs w:val="24"/>
        </w:rPr>
        <w:t>Il Protocollo di Kyoto</w:t>
      </w:r>
      <w:r w:rsidR="00F82CC9" w:rsidRPr="00965D82">
        <w:rPr>
          <w:rFonts w:ascii="Arial" w:eastAsiaTheme="minorHAnsi" w:hAnsi="Arial" w:cs="Arial"/>
          <w:sz w:val="24"/>
          <w:szCs w:val="24"/>
        </w:rPr>
        <w:t xml:space="preserve"> non prevede solo </w:t>
      </w:r>
      <w:r w:rsidRPr="00965D82">
        <w:rPr>
          <w:rFonts w:ascii="Arial" w:eastAsiaTheme="minorHAnsi" w:hAnsi="Arial" w:cs="Arial"/>
          <w:sz w:val="24"/>
          <w:szCs w:val="24"/>
        </w:rPr>
        <w:t>misure di contenimento e riduzione delle emissioni di GHG</w:t>
      </w:r>
      <w:r w:rsidR="00F82CC9" w:rsidRPr="00965D82">
        <w:rPr>
          <w:rFonts w:ascii="Arial" w:eastAsiaTheme="minorHAnsi" w:hAnsi="Arial" w:cs="Arial"/>
          <w:sz w:val="24"/>
          <w:szCs w:val="24"/>
        </w:rPr>
        <w:t xml:space="preserve"> ma anche</w:t>
      </w:r>
      <w:r w:rsidRPr="00965D82">
        <w:rPr>
          <w:rFonts w:ascii="Arial" w:eastAsiaTheme="minorHAnsi" w:hAnsi="Arial" w:cs="Arial"/>
          <w:sz w:val="24"/>
          <w:szCs w:val="24"/>
        </w:rPr>
        <w:t xml:space="preserve"> misure </w:t>
      </w:r>
      <w:r w:rsidR="00335F81" w:rsidRPr="00965D82">
        <w:rPr>
          <w:rFonts w:ascii="Arial" w:eastAsiaTheme="minorHAnsi" w:hAnsi="Arial" w:cs="Arial"/>
          <w:sz w:val="24"/>
          <w:szCs w:val="24"/>
        </w:rPr>
        <w:t>per i</w:t>
      </w:r>
      <w:r w:rsidRPr="00965D82">
        <w:rPr>
          <w:rFonts w:ascii="Arial" w:eastAsiaTheme="minorHAnsi" w:hAnsi="Arial" w:cs="Arial"/>
          <w:sz w:val="24"/>
          <w:szCs w:val="24"/>
        </w:rPr>
        <w:t>l settore agricolo e forestale</w:t>
      </w:r>
      <w:r w:rsidR="00C61AFF" w:rsidRPr="00965D82">
        <w:rPr>
          <w:rFonts w:ascii="Arial" w:eastAsiaTheme="minorHAnsi" w:hAnsi="Arial" w:cs="Arial"/>
          <w:sz w:val="24"/>
          <w:szCs w:val="24"/>
        </w:rPr>
        <w:t xml:space="preserve">, che </w:t>
      </w:r>
      <w:r w:rsidRPr="00965D82">
        <w:rPr>
          <w:rFonts w:ascii="Arial" w:eastAsiaTheme="minorHAnsi" w:hAnsi="Arial" w:cs="Arial"/>
          <w:sz w:val="24"/>
          <w:szCs w:val="24"/>
        </w:rPr>
        <w:t>sono contenute nell’articolo 3 (artt. 3.3 e 3.4 del Protocollo di Kyoto)</w:t>
      </w:r>
      <w:r w:rsidR="002F1231" w:rsidRPr="00965D82">
        <w:rPr>
          <w:rFonts w:ascii="Arial" w:eastAsiaTheme="minorHAnsi" w:hAnsi="Arial" w:cs="Arial"/>
          <w:sz w:val="24"/>
          <w:szCs w:val="24"/>
        </w:rPr>
        <w:t xml:space="preserve">. </w:t>
      </w:r>
    </w:p>
    <w:p w14:paraId="2FFDDC64" w14:textId="4341ED7F" w:rsidR="00125F07" w:rsidRPr="00965D82" w:rsidRDefault="00125F07" w:rsidP="00965D82">
      <w:pPr>
        <w:widowControl/>
        <w:adjustRightInd w:val="0"/>
        <w:ind w:firstLine="567"/>
        <w:jc w:val="both"/>
        <w:rPr>
          <w:rFonts w:ascii="Arial" w:hAnsi="Arial" w:cs="Arial"/>
          <w:sz w:val="24"/>
          <w:szCs w:val="24"/>
        </w:rPr>
      </w:pPr>
      <w:r w:rsidRPr="00965D82">
        <w:rPr>
          <w:rFonts w:ascii="Arial" w:eastAsiaTheme="minorHAnsi" w:hAnsi="Arial" w:cs="Arial"/>
          <w:sz w:val="24"/>
          <w:szCs w:val="24"/>
        </w:rPr>
        <w:t>L’articolo 3.3 fa riferimento alle attività di imboschimento, rimboschimento e deforestazione realizzate dopo il 1990, imponendo il computo degli assorbimenti di carbonio derivanti dalle attività di imboschimento e rimboschimento, al netto della deforestazione, per ciascun anno del "</w:t>
      </w:r>
      <w:r w:rsidRPr="00965D82">
        <w:rPr>
          <w:rFonts w:ascii="Arial" w:eastAsiaTheme="minorHAnsi" w:hAnsi="Arial" w:cs="Arial"/>
          <w:i/>
          <w:iCs/>
          <w:sz w:val="24"/>
          <w:szCs w:val="24"/>
        </w:rPr>
        <w:t xml:space="preserve">commitment </w:t>
      </w:r>
      <w:proofErr w:type="spellStart"/>
      <w:r w:rsidRPr="00965D82">
        <w:rPr>
          <w:rFonts w:ascii="Arial" w:eastAsiaTheme="minorHAnsi" w:hAnsi="Arial" w:cs="Arial"/>
          <w:i/>
          <w:iCs/>
          <w:sz w:val="24"/>
          <w:szCs w:val="24"/>
        </w:rPr>
        <w:t>period</w:t>
      </w:r>
      <w:proofErr w:type="spellEnd"/>
      <w:r w:rsidRPr="00965D82">
        <w:rPr>
          <w:rFonts w:ascii="Arial" w:eastAsiaTheme="minorHAnsi" w:hAnsi="Arial" w:cs="Arial"/>
          <w:sz w:val="24"/>
          <w:szCs w:val="24"/>
        </w:rPr>
        <w:t>" (periodo di impegno), dimostrando l’intervento diretto da parte dell’uomo. L’articolo 3.4 fa invece riferimento ad attività addizionali nella gestione di terreni agricoli e pascoli</w:t>
      </w:r>
      <w:r w:rsidR="00285AEF">
        <w:rPr>
          <w:rFonts w:ascii="Arial" w:eastAsiaTheme="minorHAnsi" w:hAnsi="Arial" w:cs="Arial"/>
          <w:sz w:val="24"/>
          <w:szCs w:val="24"/>
        </w:rPr>
        <w:t xml:space="preserve">. Ma soprattutto include </w:t>
      </w:r>
      <w:r w:rsidRPr="00965D82">
        <w:rPr>
          <w:rFonts w:ascii="Arial" w:eastAsiaTheme="minorHAnsi" w:hAnsi="Arial" w:cs="Arial"/>
          <w:sz w:val="24"/>
          <w:szCs w:val="24"/>
        </w:rPr>
        <w:t>la gestione forestale, prevedendo che tal</w:t>
      </w:r>
      <w:r w:rsidR="00FB380F">
        <w:rPr>
          <w:rFonts w:ascii="Arial" w:eastAsiaTheme="minorHAnsi" w:hAnsi="Arial" w:cs="Arial"/>
          <w:sz w:val="24"/>
          <w:szCs w:val="24"/>
        </w:rPr>
        <w:t>e</w:t>
      </w:r>
      <w:r w:rsidRPr="00965D82">
        <w:rPr>
          <w:rFonts w:ascii="Arial" w:eastAsiaTheme="minorHAnsi" w:hAnsi="Arial" w:cs="Arial"/>
          <w:sz w:val="24"/>
          <w:szCs w:val="24"/>
        </w:rPr>
        <w:t xml:space="preserve"> attività debba non solo avere avuto inizio a partire dal </w:t>
      </w:r>
      <w:r w:rsidR="003C241B">
        <w:rPr>
          <w:rFonts w:ascii="Arial" w:eastAsiaTheme="minorHAnsi" w:hAnsi="Arial" w:cs="Arial"/>
          <w:sz w:val="24"/>
          <w:szCs w:val="24"/>
        </w:rPr>
        <w:t>1990 o dopo</w:t>
      </w:r>
      <w:r w:rsidRPr="00965D82">
        <w:rPr>
          <w:rFonts w:ascii="Arial" w:eastAsiaTheme="minorHAnsi" w:hAnsi="Arial" w:cs="Arial"/>
          <w:sz w:val="24"/>
          <w:szCs w:val="24"/>
        </w:rPr>
        <w:t xml:space="preserve">, ma anche risultare </w:t>
      </w:r>
      <w:r w:rsidR="003C241B">
        <w:rPr>
          <w:rFonts w:ascii="Arial" w:eastAsiaTheme="minorHAnsi" w:hAnsi="Arial" w:cs="Arial"/>
          <w:sz w:val="24"/>
          <w:szCs w:val="24"/>
        </w:rPr>
        <w:t xml:space="preserve">con interventi di addizionalità rispetto ad </w:t>
      </w:r>
      <w:r w:rsidRPr="00965D82">
        <w:rPr>
          <w:rFonts w:ascii="Arial" w:eastAsiaTheme="minorHAnsi" w:hAnsi="Arial" w:cs="Arial"/>
          <w:sz w:val="24"/>
          <w:szCs w:val="24"/>
        </w:rPr>
        <w:t xml:space="preserve">uno scenario </w:t>
      </w:r>
      <w:r w:rsidR="003C241B">
        <w:rPr>
          <w:rFonts w:ascii="Arial" w:eastAsiaTheme="minorHAnsi" w:hAnsi="Arial" w:cs="Arial"/>
          <w:sz w:val="24"/>
          <w:szCs w:val="24"/>
        </w:rPr>
        <w:t>BAU.</w:t>
      </w:r>
    </w:p>
    <w:p w14:paraId="4174B8F3" w14:textId="38CEC38B" w:rsidR="00FA51DE" w:rsidRPr="00965D82" w:rsidRDefault="00DE027C" w:rsidP="00965D82">
      <w:pPr>
        <w:pStyle w:val="NormaleWeb"/>
        <w:shd w:val="clear" w:color="auto" w:fill="FFFFFF"/>
        <w:spacing w:before="0" w:beforeAutospacing="0" w:after="0" w:afterAutospacing="0"/>
        <w:ind w:firstLine="567"/>
        <w:jc w:val="both"/>
        <w:rPr>
          <w:rFonts w:ascii="Arial" w:hAnsi="Arial" w:cs="Arial"/>
        </w:rPr>
      </w:pPr>
      <w:r w:rsidRPr="00965D82">
        <w:rPr>
          <w:rFonts w:ascii="Arial" w:hAnsi="Arial" w:cs="Arial"/>
        </w:rPr>
        <w:t>I</w:t>
      </w:r>
      <w:r w:rsidR="00C27248" w:rsidRPr="00965D82">
        <w:rPr>
          <w:rFonts w:ascii="Arial" w:hAnsi="Arial" w:cs="Arial"/>
        </w:rPr>
        <w:t>l Protocollo di Kyoto</w:t>
      </w:r>
      <w:r w:rsidR="002F2274" w:rsidRPr="00965D82">
        <w:rPr>
          <w:rFonts w:ascii="Arial" w:hAnsi="Arial" w:cs="Arial"/>
        </w:rPr>
        <w:t xml:space="preserve"> è rilevante per le attività progettuali in quanto è stato il primo strumento che ha </w:t>
      </w:r>
      <w:r w:rsidR="00811246" w:rsidRPr="00965D82">
        <w:rPr>
          <w:rFonts w:ascii="Arial" w:hAnsi="Arial" w:cs="Arial"/>
        </w:rPr>
        <w:t>introdotto</w:t>
      </w:r>
      <w:r w:rsidR="00FA51DE" w:rsidRPr="00965D82">
        <w:rPr>
          <w:rFonts w:ascii="Arial" w:hAnsi="Arial" w:cs="Arial"/>
        </w:rPr>
        <w:t xml:space="preserve"> dei</w:t>
      </w:r>
      <w:r w:rsidR="002F2274" w:rsidRPr="00965D82">
        <w:rPr>
          <w:rFonts w:ascii="Arial" w:hAnsi="Arial" w:cs="Arial"/>
        </w:rPr>
        <w:t xml:space="preserve"> crediti di carbonio</w:t>
      </w:r>
      <w:r w:rsidR="00BD13D5" w:rsidRPr="00965D82">
        <w:rPr>
          <w:rFonts w:ascii="Arial" w:hAnsi="Arial" w:cs="Arial"/>
        </w:rPr>
        <w:t xml:space="preserve"> che possono essere scambiati su un mercato</w:t>
      </w:r>
      <w:r w:rsidR="007F72B0" w:rsidRPr="00965D82">
        <w:rPr>
          <w:rFonts w:ascii="Arial" w:hAnsi="Arial" w:cs="Arial"/>
        </w:rPr>
        <w:t xml:space="preserve">. </w:t>
      </w:r>
      <w:r w:rsidR="00FA51DE" w:rsidRPr="00965D82">
        <w:rPr>
          <w:rFonts w:ascii="Arial" w:hAnsi="Arial" w:cs="Arial"/>
        </w:rPr>
        <w:t>I crediti sono uno strumento istituito per consentire ai governi e alle aziende di raggiungere i loro obiettivi di riduzione dei gas a effetto serra nel modo più flessibile ed economicamente efficace.</w:t>
      </w:r>
      <w:r w:rsidR="00604A4F" w:rsidRPr="00965D82">
        <w:rPr>
          <w:rFonts w:ascii="Arial" w:hAnsi="Arial" w:cs="Arial"/>
        </w:rPr>
        <w:t xml:space="preserve"> </w:t>
      </w:r>
    </w:p>
    <w:p w14:paraId="28419F25" w14:textId="515E6797" w:rsidR="00022BCA" w:rsidRPr="00965D82" w:rsidRDefault="004A4F67" w:rsidP="003C241B">
      <w:pPr>
        <w:widowControl/>
        <w:adjustRightInd w:val="0"/>
        <w:ind w:firstLine="567"/>
        <w:jc w:val="both"/>
        <w:rPr>
          <w:rFonts w:ascii="Arial" w:eastAsiaTheme="minorHAnsi" w:hAnsi="Arial" w:cs="Arial"/>
          <w:sz w:val="24"/>
          <w:szCs w:val="24"/>
        </w:rPr>
      </w:pPr>
      <w:r w:rsidRPr="00965D82">
        <w:rPr>
          <w:rFonts w:ascii="Arial" w:hAnsi="Arial" w:cs="Arial"/>
          <w:sz w:val="24"/>
          <w:szCs w:val="24"/>
        </w:rPr>
        <w:t>I</w:t>
      </w:r>
      <w:r w:rsidR="00FA51DE" w:rsidRPr="00965D82">
        <w:rPr>
          <w:rFonts w:ascii="Arial" w:hAnsi="Arial" w:cs="Arial"/>
          <w:sz w:val="24"/>
          <w:szCs w:val="24"/>
        </w:rPr>
        <w:t xml:space="preserve"> crediti internazionali sono generati attraverso due meccanismi </w:t>
      </w:r>
      <w:r w:rsidR="003D1F6A" w:rsidRPr="00965D82">
        <w:rPr>
          <w:rFonts w:ascii="Arial" w:eastAsiaTheme="minorHAnsi" w:hAnsi="Arial" w:cs="Arial"/>
          <w:sz w:val="24"/>
          <w:szCs w:val="24"/>
        </w:rPr>
        <w:t>flessibili</w:t>
      </w:r>
      <w:r w:rsidR="003D1F6A" w:rsidRPr="00965D82">
        <w:rPr>
          <w:rFonts w:ascii="Arial" w:hAnsi="Arial" w:cs="Arial"/>
          <w:sz w:val="24"/>
          <w:szCs w:val="24"/>
        </w:rPr>
        <w:t xml:space="preserve"> </w:t>
      </w:r>
      <w:r w:rsidR="00FA51DE" w:rsidRPr="00965D82">
        <w:rPr>
          <w:rFonts w:ascii="Arial" w:hAnsi="Arial" w:cs="Arial"/>
          <w:sz w:val="24"/>
          <w:szCs w:val="24"/>
        </w:rPr>
        <w:t xml:space="preserve">istituiti dal </w:t>
      </w:r>
      <w:r w:rsidR="003D1F6A" w:rsidRPr="00965D82">
        <w:rPr>
          <w:rFonts w:ascii="Arial" w:hAnsi="Arial" w:cs="Arial"/>
          <w:sz w:val="24"/>
          <w:szCs w:val="24"/>
        </w:rPr>
        <w:t>P</w:t>
      </w:r>
      <w:r w:rsidR="00FA51DE" w:rsidRPr="00965D82">
        <w:rPr>
          <w:rFonts w:ascii="Arial" w:hAnsi="Arial" w:cs="Arial"/>
          <w:sz w:val="24"/>
          <w:szCs w:val="24"/>
        </w:rPr>
        <w:t>rotocollo di Kyoto</w:t>
      </w:r>
      <w:r w:rsidR="003D1F6A" w:rsidRPr="00965D82">
        <w:rPr>
          <w:rFonts w:ascii="Arial" w:hAnsi="Arial" w:cs="Arial"/>
          <w:sz w:val="24"/>
          <w:szCs w:val="24"/>
        </w:rPr>
        <w:t xml:space="preserve"> negli artt. 6 e 12</w:t>
      </w:r>
      <w:r w:rsidR="00965D82" w:rsidRPr="00965D82">
        <w:rPr>
          <w:rFonts w:ascii="Arial" w:hAnsi="Arial" w:cs="Arial"/>
          <w:sz w:val="24"/>
          <w:szCs w:val="24"/>
        </w:rPr>
        <w:t>:</w:t>
      </w:r>
    </w:p>
    <w:p w14:paraId="35E826D5" w14:textId="18BD265A" w:rsidR="00FA51DE" w:rsidRPr="00965D82" w:rsidRDefault="00FA51DE" w:rsidP="00965D82">
      <w:pPr>
        <w:pStyle w:val="NormaleWeb"/>
        <w:shd w:val="clear" w:color="auto" w:fill="FFFFFF"/>
        <w:spacing w:before="0" w:beforeAutospacing="0" w:after="0" w:afterAutospacing="0"/>
        <w:ind w:firstLine="567"/>
        <w:jc w:val="both"/>
        <w:rPr>
          <w:rFonts w:ascii="Arial" w:hAnsi="Arial" w:cs="Arial"/>
        </w:rPr>
      </w:pPr>
    </w:p>
    <w:p w14:paraId="544A22EF" w14:textId="2DE3481B" w:rsidR="00362847" w:rsidRPr="00965D82" w:rsidRDefault="004A4F67" w:rsidP="00076117">
      <w:pPr>
        <w:widowControl/>
        <w:numPr>
          <w:ilvl w:val="0"/>
          <w:numId w:val="36"/>
        </w:numPr>
        <w:shd w:val="clear" w:color="auto" w:fill="FFFFFF"/>
        <w:autoSpaceDE/>
        <w:autoSpaceDN/>
        <w:jc w:val="both"/>
        <w:rPr>
          <w:rFonts w:ascii="Arial" w:hAnsi="Arial" w:cs="Arial"/>
          <w:sz w:val="24"/>
          <w:szCs w:val="24"/>
        </w:rPr>
      </w:pPr>
      <w:r w:rsidRPr="00965D82">
        <w:rPr>
          <w:rFonts w:ascii="Arial" w:hAnsi="Arial" w:cs="Arial"/>
          <w:sz w:val="24"/>
          <w:szCs w:val="24"/>
        </w:rPr>
        <w:t xml:space="preserve">Il </w:t>
      </w:r>
      <w:proofErr w:type="spellStart"/>
      <w:r w:rsidR="00FA51DE" w:rsidRPr="00965D82">
        <w:rPr>
          <w:rFonts w:ascii="Arial" w:hAnsi="Arial" w:cs="Arial"/>
          <w:sz w:val="24"/>
          <w:szCs w:val="24"/>
        </w:rPr>
        <w:t>Clean</w:t>
      </w:r>
      <w:proofErr w:type="spellEnd"/>
      <w:r w:rsidR="00FA51DE" w:rsidRPr="00965D82">
        <w:rPr>
          <w:rFonts w:ascii="Arial" w:hAnsi="Arial" w:cs="Arial"/>
          <w:sz w:val="24"/>
          <w:szCs w:val="24"/>
        </w:rPr>
        <w:t xml:space="preserve"> Development </w:t>
      </w:r>
      <w:proofErr w:type="spellStart"/>
      <w:r w:rsidR="00FA51DE" w:rsidRPr="00965D82">
        <w:rPr>
          <w:rFonts w:ascii="Arial" w:hAnsi="Arial" w:cs="Arial"/>
          <w:sz w:val="24"/>
          <w:szCs w:val="24"/>
        </w:rPr>
        <w:t>Mechanism</w:t>
      </w:r>
      <w:proofErr w:type="spellEnd"/>
      <w:r w:rsidRPr="00965D82">
        <w:rPr>
          <w:rFonts w:ascii="Arial" w:hAnsi="Arial" w:cs="Arial"/>
          <w:sz w:val="24"/>
          <w:szCs w:val="24"/>
        </w:rPr>
        <w:t xml:space="preserve"> </w:t>
      </w:r>
      <w:r w:rsidR="00FA51DE" w:rsidRPr="00965D82">
        <w:rPr>
          <w:rFonts w:ascii="Arial" w:hAnsi="Arial" w:cs="Arial"/>
          <w:sz w:val="24"/>
          <w:szCs w:val="24"/>
        </w:rPr>
        <w:t>(CDM)</w:t>
      </w:r>
      <w:r w:rsidRPr="00965D82">
        <w:rPr>
          <w:rFonts w:ascii="Arial" w:hAnsi="Arial" w:cs="Arial"/>
          <w:sz w:val="24"/>
          <w:szCs w:val="24"/>
        </w:rPr>
        <w:t xml:space="preserve">, che </w:t>
      </w:r>
      <w:r w:rsidR="00FA51DE" w:rsidRPr="00965D82">
        <w:rPr>
          <w:rFonts w:ascii="Arial" w:hAnsi="Arial" w:cs="Arial"/>
          <w:sz w:val="24"/>
          <w:szCs w:val="24"/>
        </w:rPr>
        <w:t>è disciplinato dall’art. 12 del Protocollo di Kyoto</w:t>
      </w:r>
      <w:r w:rsidR="00362847" w:rsidRPr="00965D82">
        <w:rPr>
          <w:rFonts w:ascii="Arial" w:hAnsi="Arial" w:cs="Arial"/>
          <w:sz w:val="24"/>
          <w:szCs w:val="24"/>
        </w:rPr>
        <w:t>, e p</w:t>
      </w:r>
      <w:r w:rsidR="00FA51DE" w:rsidRPr="00965D82">
        <w:rPr>
          <w:rFonts w:ascii="Arial" w:hAnsi="Arial" w:cs="Arial"/>
          <w:sz w:val="24"/>
          <w:szCs w:val="24"/>
        </w:rPr>
        <w:t>ermette alle imprese dei Paesi industrializzati con vincoli di emissione di investire in progetti che riducono le emissioni nei paesi in via di sviluppo</w:t>
      </w:r>
      <w:r w:rsidR="00AB6291" w:rsidRPr="00965D82">
        <w:rPr>
          <w:rFonts w:ascii="Arial" w:hAnsi="Arial" w:cs="Arial"/>
          <w:sz w:val="24"/>
          <w:szCs w:val="24"/>
        </w:rPr>
        <w:t>.</w:t>
      </w:r>
      <w:r w:rsidR="00FA51DE" w:rsidRPr="00965D82">
        <w:rPr>
          <w:rFonts w:ascii="Arial" w:hAnsi="Arial" w:cs="Arial"/>
          <w:sz w:val="24"/>
          <w:szCs w:val="24"/>
        </w:rPr>
        <w:t xml:space="preserve"> </w:t>
      </w:r>
      <w:r w:rsidR="00AB6291" w:rsidRPr="00965D82">
        <w:rPr>
          <w:rFonts w:ascii="Arial" w:hAnsi="Arial" w:cs="Arial"/>
          <w:sz w:val="24"/>
          <w:szCs w:val="24"/>
        </w:rPr>
        <w:t>Il CDM genera crediti detti CER (Certifi</w:t>
      </w:r>
      <w:r w:rsidR="00C40808" w:rsidRPr="00965D82">
        <w:rPr>
          <w:rFonts w:ascii="Arial" w:hAnsi="Arial" w:cs="Arial"/>
          <w:sz w:val="24"/>
          <w:szCs w:val="24"/>
        </w:rPr>
        <w:t xml:space="preserve">ed </w:t>
      </w:r>
      <w:proofErr w:type="spellStart"/>
      <w:r w:rsidR="00C40808" w:rsidRPr="00965D82">
        <w:rPr>
          <w:rFonts w:ascii="Arial" w:hAnsi="Arial" w:cs="Arial"/>
          <w:sz w:val="24"/>
          <w:szCs w:val="24"/>
        </w:rPr>
        <w:t>Emission</w:t>
      </w:r>
      <w:proofErr w:type="spellEnd"/>
      <w:r w:rsidR="00C40808" w:rsidRPr="00965D82">
        <w:rPr>
          <w:rFonts w:ascii="Arial" w:hAnsi="Arial" w:cs="Arial"/>
          <w:sz w:val="24"/>
          <w:szCs w:val="24"/>
        </w:rPr>
        <w:t xml:space="preserve"> </w:t>
      </w:r>
      <w:proofErr w:type="spellStart"/>
      <w:r w:rsidR="00C40808" w:rsidRPr="00965D82">
        <w:rPr>
          <w:rFonts w:ascii="Arial" w:hAnsi="Arial" w:cs="Arial"/>
          <w:sz w:val="24"/>
          <w:szCs w:val="24"/>
        </w:rPr>
        <w:t>Reduction</w:t>
      </w:r>
      <w:proofErr w:type="spellEnd"/>
      <w:r w:rsidR="00A05BEA" w:rsidRPr="00965D82">
        <w:rPr>
          <w:rFonts w:ascii="Arial" w:hAnsi="Arial" w:cs="Arial"/>
          <w:sz w:val="24"/>
          <w:szCs w:val="24"/>
        </w:rPr>
        <w:t xml:space="preserve"> Unit</w:t>
      </w:r>
      <w:r w:rsidR="00C40808" w:rsidRPr="00965D82">
        <w:rPr>
          <w:rFonts w:ascii="Arial" w:hAnsi="Arial" w:cs="Arial"/>
          <w:sz w:val="24"/>
          <w:szCs w:val="24"/>
        </w:rPr>
        <w:t xml:space="preserve">). </w:t>
      </w:r>
    </w:p>
    <w:p w14:paraId="2F8BECCB" w14:textId="34D6C228" w:rsidR="00FA51DE" w:rsidRPr="00965D82" w:rsidRDefault="00362847" w:rsidP="00076117">
      <w:pPr>
        <w:widowControl/>
        <w:numPr>
          <w:ilvl w:val="0"/>
          <w:numId w:val="36"/>
        </w:numPr>
        <w:shd w:val="clear" w:color="auto" w:fill="FFFFFF"/>
        <w:autoSpaceDE/>
        <w:autoSpaceDN/>
        <w:jc w:val="both"/>
        <w:rPr>
          <w:rFonts w:ascii="Arial" w:hAnsi="Arial" w:cs="Arial"/>
          <w:sz w:val="24"/>
          <w:szCs w:val="24"/>
        </w:rPr>
      </w:pPr>
      <w:r w:rsidRPr="00965D82">
        <w:rPr>
          <w:rFonts w:ascii="Arial" w:hAnsi="Arial" w:cs="Arial"/>
          <w:sz w:val="24"/>
          <w:szCs w:val="24"/>
        </w:rPr>
        <w:t>Il Join</w:t>
      </w:r>
      <w:r w:rsidR="00FA51DE" w:rsidRPr="00965D82">
        <w:rPr>
          <w:rFonts w:ascii="Arial" w:hAnsi="Arial" w:cs="Arial"/>
          <w:sz w:val="24"/>
          <w:szCs w:val="24"/>
        </w:rPr>
        <w:t xml:space="preserve">t </w:t>
      </w:r>
      <w:proofErr w:type="spellStart"/>
      <w:r w:rsidR="00FA51DE" w:rsidRPr="00965D82">
        <w:rPr>
          <w:rFonts w:ascii="Arial" w:hAnsi="Arial" w:cs="Arial"/>
          <w:sz w:val="24"/>
          <w:szCs w:val="24"/>
        </w:rPr>
        <w:t>Implementation</w:t>
      </w:r>
      <w:proofErr w:type="spellEnd"/>
      <w:r w:rsidR="00FA51DE" w:rsidRPr="00965D82">
        <w:rPr>
          <w:rFonts w:ascii="Arial" w:hAnsi="Arial" w:cs="Arial"/>
          <w:sz w:val="24"/>
          <w:szCs w:val="24"/>
        </w:rPr>
        <w:t xml:space="preserve"> (JI)</w:t>
      </w:r>
      <w:r w:rsidRPr="00965D82">
        <w:rPr>
          <w:rFonts w:ascii="Arial" w:hAnsi="Arial" w:cs="Arial"/>
          <w:sz w:val="24"/>
          <w:szCs w:val="24"/>
        </w:rPr>
        <w:t>, che</w:t>
      </w:r>
      <w:r w:rsidR="00FA51DE" w:rsidRPr="00965D82">
        <w:rPr>
          <w:rFonts w:ascii="Arial" w:hAnsi="Arial" w:cs="Arial"/>
          <w:sz w:val="24"/>
          <w:szCs w:val="24"/>
        </w:rPr>
        <w:t xml:space="preserve"> è disciplinato dall’art. 6 del Protocollo di Kyoto</w:t>
      </w:r>
      <w:r w:rsidR="008742EF" w:rsidRPr="00965D82">
        <w:rPr>
          <w:rFonts w:ascii="Arial" w:hAnsi="Arial" w:cs="Arial"/>
          <w:sz w:val="24"/>
          <w:szCs w:val="24"/>
        </w:rPr>
        <w:t xml:space="preserve">, e </w:t>
      </w:r>
      <w:r w:rsidR="00FA51DE" w:rsidRPr="00965D82">
        <w:rPr>
          <w:rFonts w:ascii="Arial" w:hAnsi="Arial" w:cs="Arial"/>
          <w:sz w:val="24"/>
          <w:szCs w:val="24"/>
        </w:rPr>
        <w:t>JI permette alle imprese dei Paesi industrializzati con vincoli di emissione di ottemperare in parte all’obbligo di riduzione delle emissioni di gas a effetto serra finanziando progetti che riducono tali emissioni in altri paesi industrializzati.</w:t>
      </w:r>
      <w:r w:rsidR="00C40808" w:rsidRPr="00965D82">
        <w:rPr>
          <w:rFonts w:ascii="Arial" w:hAnsi="Arial" w:cs="Arial"/>
          <w:sz w:val="24"/>
          <w:szCs w:val="24"/>
        </w:rPr>
        <w:t xml:space="preserve"> Il JI genera crediti </w:t>
      </w:r>
      <w:r w:rsidR="00CC466E" w:rsidRPr="00965D82">
        <w:rPr>
          <w:rFonts w:ascii="Arial" w:hAnsi="Arial" w:cs="Arial"/>
          <w:sz w:val="24"/>
          <w:szCs w:val="24"/>
        </w:rPr>
        <w:t>detti ERU (</w:t>
      </w:r>
      <w:proofErr w:type="spellStart"/>
      <w:r w:rsidR="00CC466E" w:rsidRPr="00965D82">
        <w:rPr>
          <w:rFonts w:ascii="Arial" w:hAnsi="Arial" w:cs="Arial"/>
          <w:sz w:val="24"/>
          <w:szCs w:val="24"/>
        </w:rPr>
        <w:t>Emission</w:t>
      </w:r>
      <w:proofErr w:type="spellEnd"/>
      <w:r w:rsidR="00CC466E" w:rsidRPr="00965D82">
        <w:rPr>
          <w:rFonts w:ascii="Arial" w:hAnsi="Arial" w:cs="Arial"/>
          <w:sz w:val="24"/>
          <w:szCs w:val="24"/>
        </w:rPr>
        <w:t xml:space="preserve"> </w:t>
      </w:r>
      <w:proofErr w:type="spellStart"/>
      <w:r w:rsidR="00CC466E" w:rsidRPr="00965D82">
        <w:rPr>
          <w:rFonts w:ascii="Arial" w:hAnsi="Arial" w:cs="Arial"/>
          <w:sz w:val="24"/>
          <w:szCs w:val="24"/>
        </w:rPr>
        <w:t>Reduction</w:t>
      </w:r>
      <w:proofErr w:type="spellEnd"/>
      <w:r w:rsidR="00CC466E" w:rsidRPr="00965D82">
        <w:rPr>
          <w:rFonts w:ascii="Arial" w:hAnsi="Arial" w:cs="Arial"/>
          <w:sz w:val="24"/>
          <w:szCs w:val="24"/>
        </w:rPr>
        <w:t xml:space="preserve"> Unit).</w:t>
      </w:r>
    </w:p>
    <w:p w14:paraId="0C24EFE2" w14:textId="31158659" w:rsidR="0019768D" w:rsidRDefault="0019768D" w:rsidP="006332E1">
      <w:pPr>
        <w:pStyle w:val="Corpotesto"/>
        <w:ind w:right="45"/>
        <w:jc w:val="both"/>
        <w:rPr>
          <w:rFonts w:ascii="Arial" w:hAnsi="Arial" w:cs="Arial"/>
          <w:sz w:val="24"/>
          <w:szCs w:val="24"/>
        </w:rPr>
      </w:pPr>
    </w:p>
    <w:p w14:paraId="21CFDDA6" w14:textId="2BF31F91" w:rsidR="00CC466E" w:rsidRPr="006A4D84" w:rsidRDefault="00C37D0F" w:rsidP="006A4D84">
      <w:pPr>
        <w:widowControl/>
        <w:adjustRightInd w:val="0"/>
        <w:ind w:firstLine="567"/>
        <w:jc w:val="both"/>
        <w:rPr>
          <w:rFonts w:ascii="Arial" w:hAnsi="Arial" w:cs="Arial"/>
          <w:sz w:val="24"/>
          <w:szCs w:val="24"/>
        </w:rPr>
      </w:pPr>
      <w:r w:rsidRPr="006A4D84">
        <w:rPr>
          <w:rFonts w:ascii="Arial" w:hAnsi="Arial" w:cs="Arial"/>
          <w:sz w:val="24"/>
          <w:szCs w:val="24"/>
        </w:rPr>
        <w:t>I</w:t>
      </w:r>
      <w:r w:rsidR="00FC3905" w:rsidRPr="006A4D84">
        <w:rPr>
          <w:rFonts w:ascii="Arial" w:hAnsi="Arial" w:cs="Arial"/>
          <w:sz w:val="24"/>
          <w:szCs w:val="24"/>
        </w:rPr>
        <w:t>n entramb</w:t>
      </w:r>
      <w:r w:rsidR="00777656" w:rsidRPr="006A4D84">
        <w:rPr>
          <w:rFonts w:ascii="Arial" w:hAnsi="Arial" w:cs="Arial"/>
          <w:sz w:val="24"/>
          <w:szCs w:val="24"/>
        </w:rPr>
        <w:t xml:space="preserve">i i meccanismi la metodologia di riferimento è sostanzialmente quella del CDM, mentre </w:t>
      </w:r>
      <w:r w:rsidR="00EE1192" w:rsidRPr="006A4D84">
        <w:rPr>
          <w:rFonts w:ascii="Arial" w:hAnsi="Arial" w:cs="Arial"/>
          <w:sz w:val="24"/>
          <w:szCs w:val="24"/>
        </w:rPr>
        <w:t>vi sono differenze nel</w:t>
      </w:r>
      <w:r w:rsidR="00777656" w:rsidRPr="006A4D84">
        <w:rPr>
          <w:rFonts w:ascii="Arial" w:hAnsi="Arial" w:cs="Arial"/>
          <w:sz w:val="24"/>
          <w:szCs w:val="24"/>
        </w:rPr>
        <w:t xml:space="preserve">la governance </w:t>
      </w:r>
      <w:r w:rsidR="00B1706C" w:rsidRPr="006A4D84">
        <w:rPr>
          <w:rFonts w:ascii="Arial" w:hAnsi="Arial" w:cs="Arial"/>
          <w:sz w:val="24"/>
          <w:szCs w:val="24"/>
        </w:rPr>
        <w:t xml:space="preserve">dei progetti e </w:t>
      </w:r>
      <w:r w:rsidR="00EE1192" w:rsidRPr="006A4D84">
        <w:rPr>
          <w:rFonts w:ascii="Arial" w:hAnsi="Arial" w:cs="Arial"/>
          <w:sz w:val="24"/>
          <w:szCs w:val="24"/>
        </w:rPr>
        <w:t xml:space="preserve">nella tipologia </w:t>
      </w:r>
      <w:r w:rsidR="00BA03C9" w:rsidRPr="006A4D84">
        <w:rPr>
          <w:rFonts w:ascii="Arial" w:hAnsi="Arial" w:cs="Arial"/>
          <w:sz w:val="24"/>
          <w:szCs w:val="24"/>
        </w:rPr>
        <w:t>de</w:t>
      </w:r>
      <w:r w:rsidR="00B1706C" w:rsidRPr="006A4D84">
        <w:rPr>
          <w:rFonts w:ascii="Arial" w:hAnsi="Arial" w:cs="Arial"/>
          <w:sz w:val="24"/>
          <w:szCs w:val="24"/>
        </w:rPr>
        <w:t xml:space="preserve">i Paesi di riferimento. </w:t>
      </w:r>
      <w:r w:rsidR="00BA03C9" w:rsidRPr="006A4D84">
        <w:rPr>
          <w:rFonts w:ascii="Arial" w:hAnsi="Arial" w:cs="Arial"/>
          <w:sz w:val="24"/>
          <w:szCs w:val="24"/>
        </w:rPr>
        <w:t xml:space="preserve">L’art. 12 evidenzia che per l’applicazione del CDM </w:t>
      </w:r>
      <w:r w:rsidR="00EC5C40" w:rsidRPr="006A4D84">
        <w:rPr>
          <w:rFonts w:ascii="Arial" w:hAnsi="Arial" w:cs="Arial"/>
          <w:sz w:val="24"/>
          <w:szCs w:val="24"/>
        </w:rPr>
        <w:t xml:space="preserve">le </w:t>
      </w:r>
      <w:r w:rsidR="006A4D84" w:rsidRPr="006A4D84">
        <w:rPr>
          <w:rFonts w:ascii="Arial" w:eastAsiaTheme="minorHAnsi" w:hAnsi="Arial" w:cs="Arial"/>
          <w:sz w:val="24"/>
          <w:szCs w:val="24"/>
        </w:rPr>
        <w:t>riduzioni di emissioni derivanti da ogni attività saranno certificate da enti operativi designati dalla Conferenza delle Parti agente come riunione delle Parti del presente Protocollo sulla base dei seguenti criteri:</w:t>
      </w:r>
    </w:p>
    <w:p w14:paraId="73F7942F" w14:textId="77777777" w:rsidR="00CC466E" w:rsidRPr="006A4D84" w:rsidRDefault="00CC466E" w:rsidP="006A4D84">
      <w:pPr>
        <w:pStyle w:val="Corpotesto"/>
        <w:ind w:right="45"/>
        <w:jc w:val="both"/>
        <w:rPr>
          <w:rFonts w:ascii="Arial" w:hAnsi="Arial" w:cs="Arial"/>
          <w:sz w:val="24"/>
          <w:szCs w:val="24"/>
        </w:rPr>
      </w:pPr>
    </w:p>
    <w:p w14:paraId="1AD02DB7" w14:textId="77777777" w:rsidR="0019768D" w:rsidRPr="006A4D84" w:rsidRDefault="0019768D" w:rsidP="00076117">
      <w:pPr>
        <w:pStyle w:val="Paragrafoelenco"/>
        <w:widowControl/>
        <w:numPr>
          <w:ilvl w:val="0"/>
          <w:numId w:val="37"/>
        </w:numPr>
        <w:adjustRightInd w:val="0"/>
        <w:jc w:val="both"/>
        <w:rPr>
          <w:rFonts w:ascii="Arial" w:eastAsiaTheme="minorHAnsi" w:hAnsi="Arial" w:cs="Arial"/>
          <w:sz w:val="24"/>
          <w:szCs w:val="24"/>
        </w:rPr>
      </w:pPr>
      <w:r w:rsidRPr="006A4D84">
        <w:rPr>
          <w:rFonts w:ascii="Arial" w:eastAsiaTheme="minorHAnsi" w:hAnsi="Arial" w:cs="Arial"/>
          <w:sz w:val="24"/>
          <w:szCs w:val="24"/>
        </w:rPr>
        <w:t>Partecipazione volontaria approvata da ogni Parte coinvolta;</w:t>
      </w:r>
    </w:p>
    <w:p w14:paraId="43273158" w14:textId="1414FC00" w:rsidR="0019768D" w:rsidRPr="006A4D84" w:rsidRDefault="0019768D" w:rsidP="00076117">
      <w:pPr>
        <w:pStyle w:val="Paragrafoelenco"/>
        <w:widowControl/>
        <w:numPr>
          <w:ilvl w:val="0"/>
          <w:numId w:val="37"/>
        </w:numPr>
        <w:adjustRightInd w:val="0"/>
        <w:jc w:val="both"/>
        <w:rPr>
          <w:rFonts w:ascii="Arial" w:eastAsiaTheme="minorHAnsi" w:hAnsi="Arial" w:cs="Arial"/>
          <w:sz w:val="24"/>
          <w:szCs w:val="24"/>
        </w:rPr>
      </w:pPr>
      <w:r w:rsidRPr="006A4D84">
        <w:rPr>
          <w:rFonts w:ascii="Arial" w:eastAsiaTheme="minorHAnsi" w:hAnsi="Arial" w:cs="Arial"/>
          <w:sz w:val="24"/>
          <w:szCs w:val="24"/>
        </w:rPr>
        <w:t>Benefici reali, misurabili e a lungo termine, in relazione con la mitigazione dei</w:t>
      </w:r>
      <w:r w:rsidR="006A4D84" w:rsidRPr="006A4D84">
        <w:rPr>
          <w:rFonts w:ascii="Arial" w:eastAsiaTheme="minorHAnsi" w:hAnsi="Arial" w:cs="Arial"/>
          <w:sz w:val="24"/>
          <w:szCs w:val="24"/>
        </w:rPr>
        <w:t xml:space="preserve"> </w:t>
      </w:r>
      <w:r w:rsidRPr="006A4D84">
        <w:rPr>
          <w:rFonts w:ascii="Arial" w:eastAsiaTheme="minorHAnsi" w:hAnsi="Arial" w:cs="Arial"/>
          <w:sz w:val="24"/>
          <w:szCs w:val="24"/>
        </w:rPr>
        <w:t xml:space="preserve">cambiamenti climatici; </w:t>
      </w:r>
    </w:p>
    <w:p w14:paraId="21E43072" w14:textId="1C8D2569" w:rsidR="00DE027C" w:rsidRPr="006A4D84" w:rsidRDefault="0019768D" w:rsidP="00076117">
      <w:pPr>
        <w:pStyle w:val="Paragrafoelenco"/>
        <w:widowControl/>
        <w:numPr>
          <w:ilvl w:val="0"/>
          <w:numId w:val="37"/>
        </w:numPr>
        <w:adjustRightInd w:val="0"/>
        <w:jc w:val="both"/>
        <w:rPr>
          <w:rFonts w:ascii="Arial" w:hAnsi="Arial" w:cs="Arial"/>
          <w:sz w:val="24"/>
          <w:szCs w:val="24"/>
        </w:rPr>
      </w:pPr>
      <w:r w:rsidRPr="006A4D84">
        <w:rPr>
          <w:rFonts w:ascii="Arial" w:eastAsiaTheme="minorHAnsi" w:hAnsi="Arial" w:cs="Arial"/>
          <w:sz w:val="24"/>
          <w:szCs w:val="24"/>
        </w:rPr>
        <w:t>Riduzione delle emissioni che siano supplementari a quelle che si produrrebbero in</w:t>
      </w:r>
      <w:r w:rsidR="006A4D84" w:rsidRPr="006A4D84">
        <w:rPr>
          <w:rFonts w:ascii="Arial" w:eastAsiaTheme="minorHAnsi" w:hAnsi="Arial" w:cs="Arial"/>
          <w:sz w:val="24"/>
          <w:szCs w:val="24"/>
        </w:rPr>
        <w:t xml:space="preserve"> </w:t>
      </w:r>
      <w:r w:rsidRPr="006A4D84">
        <w:rPr>
          <w:rFonts w:ascii="Arial" w:eastAsiaTheme="minorHAnsi" w:hAnsi="Arial" w:cs="Arial"/>
          <w:sz w:val="24"/>
          <w:szCs w:val="24"/>
        </w:rPr>
        <w:t>assenza dell’attività certificata.</w:t>
      </w:r>
    </w:p>
    <w:p w14:paraId="508116A2" w14:textId="57E3E0B0" w:rsidR="001D6E4B" w:rsidRDefault="001D6E4B" w:rsidP="006332E1">
      <w:pPr>
        <w:pStyle w:val="Corpotesto"/>
        <w:ind w:right="45"/>
        <w:jc w:val="both"/>
        <w:rPr>
          <w:rFonts w:ascii="Arial" w:hAnsi="Arial" w:cs="Arial"/>
          <w:sz w:val="24"/>
          <w:szCs w:val="24"/>
        </w:rPr>
      </w:pPr>
    </w:p>
    <w:p w14:paraId="2101203B" w14:textId="0F421731" w:rsidR="009A2BE5" w:rsidRDefault="005F59E5" w:rsidP="00D55272">
      <w:pPr>
        <w:pStyle w:val="Corpotesto"/>
        <w:ind w:right="45" w:firstLine="567"/>
        <w:jc w:val="both"/>
        <w:rPr>
          <w:rFonts w:ascii="Arial" w:hAnsi="Arial" w:cs="Arial"/>
          <w:sz w:val="24"/>
          <w:szCs w:val="24"/>
        </w:rPr>
      </w:pPr>
      <w:r w:rsidRPr="00C857A2">
        <w:rPr>
          <w:rFonts w:ascii="Arial" w:hAnsi="Arial" w:cs="Arial"/>
          <w:sz w:val="24"/>
          <w:szCs w:val="24"/>
        </w:rPr>
        <w:t>Il CDM prevede uno specifico Registro, delle regole di accettazione del progetto</w:t>
      </w:r>
      <w:r w:rsidR="00C857A2" w:rsidRPr="00C857A2">
        <w:rPr>
          <w:rFonts w:ascii="Arial" w:hAnsi="Arial" w:cs="Arial"/>
          <w:sz w:val="24"/>
          <w:szCs w:val="24"/>
        </w:rPr>
        <w:t xml:space="preserve">, un sistema di monitoraggio e una sua governance. </w:t>
      </w:r>
      <w:r w:rsidR="00C857A2">
        <w:rPr>
          <w:rFonts w:ascii="Arial" w:hAnsi="Arial" w:cs="Arial"/>
          <w:sz w:val="24"/>
          <w:szCs w:val="24"/>
        </w:rPr>
        <w:t xml:space="preserve">La metodologia </w:t>
      </w:r>
      <w:r w:rsidR="000E321B">
        <w:rPr>
          <w:rFonts w:ascii="Arial" w:hAnsi="Arial" w:cs="Arial"/>
          <w:sz w:val="24"/>
          <w:szCs w:val="24"/>
        </w:rPr>
        <w:t xml:space="preserve">CDM per tutte le tipologie </w:t>
      </w:r>
      <w:r w:rsidR="000E321B">
        <w:rPr>
          <w:rFonts w:ascii="Arial" w:hAnsi="Arial" w:cs="Arial"/>
          <w:sz w:val="24"/>
          <w:szCs w:val="24"/>
        </w:rPr>
        <w:lastRenderedPageBreak/>
        <w:t xml:space="preserve">di progetto è descritta nel </w:t>
      </w:r>
      <w:r w:rsidR="00322FCF">
        <w:rPr>
          <w:rFonts w:ascii="Arial" w:hAnsi="Arial" w:cs="Arial"/>
          <w:sz w:val="24"/>
          <w:szCs w:val="24"/>
        </w:rPr>
        <w:t xml:space="preserve">CDM </w:t>
      </w:r>
      <w:proofErr w:type="spellStart"/>
      <w:r w:rsidR="00322FCF">
        <w:rPr>
          <w:rFonts w:ascii="Arial" w:hAnsi="Arial" w:cs="Arial"/>
          <w:sz w:val="24"/>
          <w:szCs w:val="24"/>
        </w:rPr>
        <w:t>Met</w:t>
      </w:r>
      <w:r w:rsidR="00593B86">
        <w:rPr>
          <w:rFonts w:ascii="Arial" w:hAnsi="Arial" w:cs="Arial"/>
          <w:sz w:val="24"/>
          <w:szCs w:val="24"/>
        </w:rPr>
        <w:t>hodology</w:t>
      </w:r>
      <w:proofErr w:type="spellEnd"/>
      <w:r w:rsidR="00593B86">
        <w:rPr>
          <w:rFonts w:ascii="Arial" w:hAnsi="Arial" w:cs="Arial"/>
          <w:sz w:val="24"/>
          <w:szCs w:val="24"/>
        </w:rPr>
        <w:t xml:space="preserve"> Booklet</w:t>
      </w:r>
      <w:r w:rsidR="003A1987">
        <w:rPr>
          <w:rStyle w:val="Rimandonotaapidipagina"/>
          <w:rFonts w:ascii="Arial" w:hAnsi="Arial" w:cs="Arial"/>
          <w:sz w:val="24"/>
          <w:szCs w:val="24"/>
        </w:rPr>
        <w:footnoteReference w:id="63"/>
      </w:r>
      <w:r w:rsidR="00593B86">
        <w:rPr>
          <w:rFonts w:ascii="Arial" w:hAnsi="Arial" w:cs="Arial"/>
          <w:sz w:val="24"/>
          <w:szCs w:val="24"/>
        </w:rPr>
        <w:t xml:space="preserve">, all’interno della quale sono descritte le regole da applicare anche per i progetti di </w:t>
      </w:r>
      <w:proofErr w:type="spellStart"/>
      <w:r w:rsidR="00132D9E">
        <w:rPr>
          <w:rFonts w:ascii="Arial" w:hAnsi="Arial" w:cs="Arial"/>
          <w:sz w:val="24"/>
          <w:szCs w:val="24"/>
        </w:rPr>
        <w:t>afforestazione</w:t>
      </w:r>
      <w:proofErr w:type="spellEnd"/>
      <w:r w:rsidR="00132D9E">
        <w:rPr>
          <w:rFonts w:ascii="Arial" w:hAnsi="Arial" w:cs="Arial"/>
          <w:sz w:val="24"/>
          <w:szCs w:val="24"/>
        </w:rPr>
        <w:t xml:space="preserve"> o riforestazione</w:t>
      </w:r>
      <w:r w:rsidR="00132D9E">
        <w:rPr>
          <w:rStyle w:val="Rimandonotaapidipagina"/>
          <w:rFonts w:ascii="Arial" w:hAnsi="Arial" w:cs="Arial"/>
          <w:sz w:val="24"/>
          <w:szCs w:val="24"/>
        </w:rPr>
        <w:footnoteReference w:id="64"/>
      </w:r>
      <w:r w:rsidR="00132D9E">
        <w:rPr>
          <w:rFonts w:ascii="Arial" w:hAnsi="Arial" w:cs="Arial"/>
          <w:sz w:val="24"/>
          <w:szCs w:val="24"/>
        </w:rPr>
        <w:t xml:space="preserve">. </w:t>
      </w:r>
      <w:r w:rsidR="00D55272">
        <w:rPr>
          <w:rFonts w:ascii="Arial" w:hAnsi="Arial" w:cs="Arial"/>
          <w:sz w:val="24"/>
          <w:szCs w:val="24"/>
        </w:rPr>
        <w:t xml:space="preserve">In sintesi, le regole per tutti i progetti sono le seguenti: </w:t>
      </w:r>
    </w:p>
    <w:p w14:paraId="75807A48" w14:textId="77777777" w:rsidR="00D55272" w:rsidRPr="00C857A2" w:rsidRDefault="00D55272" w:rsidP="00D55272">
      <w:pPr>
        <w:pStyle w:val="Corpotesto"/>
        <w:ind w:right="45" w:firstLine="567"/>
        <w:jc w:val="both"/>
        <w:rPr>
          <w:rFonts w:ascii="Arial" w:hAnsi="Arial" w:cs="Arial"/>
          <w:sz w:val="24"/>
          <w:szCs w:val="24"/>
        </w:rPr>
      </w:pPr>
    </w:p>
    <w:p w14:paraId="433E407D" w14:textId="77777777" w:rsidR="009A2BE5" w:rsidRPr="008B5918" w:rsidRDefault="009A2BE5" w:rsidP="00076117">
      <w:pPr>
        <w:widowControl/>
        <w:numPr>
          <w:ilvl w:val="0"/>
          <w:numId w:val="39"/>
        </w:numPr>
        <w:shd w:val="clear" w:color="auto" w:fill="FFFFFF"/>
        <w:autoSpaceDE/>
        <w:autoSpaceDN/>
        <w:jc w:val="both"/>
        <w:rPr>
          <w:rFonts w:ascii="Arial" w:eastAsia="Times New Roman" w:hAnsi="Arial" w:cs="Arial"/>
          <w:color w:val="202122"/>
          <w:sz w:val="24"/>
          <w:szCs w:val="24"/>
        </w:rPr>
      </w:pPr>
      <w:r w:rsidRPr="008B5918">
        <w:rPr>
          <w:rFonts w:ascii="Arial" w:hAnsi="Arial" w:cs="Arial"/>
          <w:color w:val="202122"/>
          <w:sz w:val="24"/>
          <w:szCs w:val="24"/>
        </w:rPr>
        <w:t xml:space="preserve">Il progetto deve generare una riduzione delle emissioni di almeno uno dei gas regolati dal Protocollo di </w:t>
      </w:r>
      <w:proofErr w:type="spellStart"/>
      <w:r w:rsidRPr="008B5918">
        <w:rPr>
          <w:rFonts w:ascii="Arial" w:hAnsi="Arial" w:cs="Arial"/>
          <w:color w:val="202122"/>
          <w:sz w:val="24"/>
          <w:szCs w:val="24"/>
        </w:rPr>
        <w:t>Kyōto</w:t>
      </w:r>
      <w:proofErr w:type="spellEnd"/>
      <w:r w:rsidRPr="008B5918">
        <w:rPr>
          <w:rFonts w:ascii="Arial" w:hAnsi="Arial" w:cs="Arial"/>
          <w:color w:val="202122"/>
          <w:sz w:val="24"/>
          <w:szCs w:val="24"/>
        </w:rPr>
        <w:t xml:space="preserve"> (</w:t>
      </w:r>
      <w:r w:rsidRPr="0015468D">
        <w:rPr>
          <w:rFonts w:ascii="Arial" w:hAnsi="Arial" w:cs="Arial"/>
          <w:sz w:val="24"/>
          <w:szCs w:val="24"/>
        </w:rPr>
        <w:t>anidride carbonica</w:t>
      </w:r>
      <w:r>
        <w:rPr>
          <w:rFonts w:ascii="Arial" w:hAnsi="Arial" w:cs="Arial"/>
          <w:color w:val="202122"/>
          <w:sz w:val="24"/>
          <w:szCs w:val="24"/>
        </w:rPr>
        <w:t xml:space="preserve"> </w:t>
      </w:r>
      <w:r w:rsidRPr="008B5918">
        <w:rPr>
          <w:rFonts w:ascii="Arial" w:hAnsi="Arial" w:cs="Arial"/>
          <w:color w:val="202122"/>
          <w:sz w:val="24"/>
          <w:szCs w:val="24"/>
        </w:rPr>
        <w:t>CO</w:t>
      </w:r>
      <w:r w:rsidRPr="00423453">
        <w:rPr>
          <w:rFonts w:ascii="Arial" w:hAnsi="Arial" w:cs="Arial"/>
          <w:color w:val="202122"/>
          <w:sz w:val="24"/>
          <w:szCs w:val="24"/>
          <w:vertAlign w:val="subscript"/>
        </w:rPr>
        <w:t>2</w:t>
      </w:r>
      <w:r w:rsidRPr="008B5918">
        <w:rPr>
          <w:rFonts w:ascii="Arial" w:hAnsi="Arial" w:cs="Arial"/>
          <w:color w:val="202122"/>
          <w:sz w:val="24"/>
          <w:szCs w:val="24"/>
        </w:rPr>
        <w:t>,</w:t>
      </w:r>
      <w:r>
        <w:rPr>
          <w:rFonts w:ascii="Arial" w:hAnsi="Arial" w:cs="Arial"/>
          <w:color w:val="202122"/>
          <w:sz w:val="24"/>
          <w:szCs w:val="24"/>
        </w:rPr>
        <w:t xml:space="preserve"> </w:t>
      </w:r>
      <w:r w:rsidRPr="0015468D">
        <w:rPr>
          <w:rFonts w:ascii="Arial" w:hAnsi="Arial" w:cs="Arial"/>
          <w:sz w:val="24"/>
          <w:szCs w:val="24"/>
        </w:rPr>
        <w:t>metano</w:t>
      </w:r>
      <w:r>
        <w:rPr>
          <w:rFonts w:ascii="Arial" w:hAnsi="Arial" w:cs="Arial"/>
          <w:sz w:val="24"/>
          <w:szCs w:val="24"/>
        </w:rPr>
        <w:t xml:space="preserve"> </w:t>
      </w:r>
      <w:r w:rsidRPr="008B5918">
        <w:rPr>
          <w:rFonts w:ascii="Arial" w:hAnsi="Arial" w:cs="Arial"/>
          <w:color w:val="202122"/>
          <w:sz w:val="24"/>
          <w:szCs w:val="24"/>
        </w:rPr>
        <w:t>CH</w:t>
      </w:r>
      <w:r w:rsidRPr="008B5918">
        <w:rPr>
          <w:rFonts w:ascii="Arial" w:hAnsi="Arial" w:cs="Arial"/>
          <w:color w:val="202122"/>
          <w:sz w:val="24"/>
          <w:szCs w:val="24"/>
          <w:vertAlign w:val="subscript"/>
        </w:rPr>
        <w:t>4</w:t>
      </w:r>
      <w:r w:rsidRPr="008B5918">
        <w:rPr>
          <w:rFonts w:ascii="Arial" w:hAnsi="Arial" w:cs="Arial"/>
          <w:color w:val="202122"/>
          <w:sz w:val="24"/>
          <w:szCs w:val="24"/>
        </w:rPr>
        <w:t>,</w:t>
      </w:r>
      <w:r>
        <w:rPr>
          <w:rFonts w:ascii="Arial" w:hAnsi="Arial" w:cs="Arial"/>
          <w:color w:val="202122"/>
          <w:sz w:val="24"/>
          <w:szCs w:val="24"/>
        </w:rPr>
        <w:t xml:space="preserve"> </w:t>
      </w:r>
      <w:r w:rsidRPr="0015468D">
        <w:rPr>
          <w:rFonts w:ascii="Arial" w:hAnsi="Arial" w:cs="Arial"/>
          <w:sz w:val="24"/>
          <w:szCs w:val="24"/>
        </w:rPr>
        <w:t>protossido di azoto</w:t>
      </w:r>
      <w:r>
        <w:rPr>
          <w:rFonts w:ascii="Arial" w:hAnsi="Arial" w:cs="Arial"/>
          <w:color w:val="202122"/>
          <w:sz w:val="24"/>
          <w:szCs w:val="24"/>
        </w:rPr>
        <w:t xml:space="preserve"> </w:t>
      </w:r>
      <w:r w:rsidRPr="008B5918">
        <w:rPr>
          <w:rFonts w:ascii="Arial" w:hAnsi="Arial" w:cs="Arial"/>
          <w:color w:val="202122"/>
          <w:sz w:val="24"/>
          <w:szCs w:val="24"/>
        </w:rPr>
        <w:t>N</w:t>
      </w:r>
      <w:r w:rsidRPr="008B5918">
        <w:rPr>
          <w:rFonts w:ascii="Arial" w:hAnsi="Arial" w:cs="Arial"/>
          <w:color w:val="202122"/>
          <w:sz w:val="24"/>
          <w:szCs w:val="24"/>
          <w:vertAlign w:val="subscript"/>
        </w:rPr>
        <w:t>2</w:t>
      </w:r>
      <w:r w:rsidRPr="008B5918">
        <w:rPr>
          <w:rFonts w:ascii="Arial" w:hAnsi="Arial" w:cs="Arial"/>
          <w:color w:val="202122"/>
          <w:sz w:val="24"/>
          <w:szCs w:val="24"/>
        </w:rPr>
        <w:t>O,</w:t>
      </w:r>
      <w:r>
        <w:rPr>
          <w:rFonts w:ascii="Arial" w:hAnsi="Arial" w:cs="Arial"/>
          <w:color w:val="202122"/>
          <w:sz w:val="24"/>
          <w:szCs w:val="24"/>
        </w:rPr>
        <w:t xml:space="preserve"> </w:t>
      </w:r>
      <w:proofErr w:type="spellStart"/>
      <w:r w:rsidRPr="0015468D">
        <w:rPr>
          <w:rFonts w:ascii="Arial" w:hAnsi="Arial" w:cs="Arial"/>
          <w:color w:val="202122"/>
          <w:sz w:val="24"/>
          <w:szCs w:val="24"/>
        </w:rPr>
        <w:t>idrofluorocarburi</w:t>
      </w:r>
      <w:proofErr w:type="spellEnd"/>
      <w:r>
        <w:rPr>
          <w:rFonts w:ascii="Arial" w:hAnsi="Arial" w:cs="Arial"/>
          <w:color w:val="202122"/>
          <w:sz w:val="24"/>
          <w:szCs w:val="24"/>
        </w:rPr>
        <w:t xml:space="preserve"> </w:t>
      </w:r>
      <w:r w:rsidRPr="008B5918">
        <w:rPr>
          <w:rFonts w:ascii="Arial" w:hAnsi="Arial" w:cs="Arial"/>
          <w:color w:val="202122"/>
          <w:sz w:val="24"/>
          <w:szCs w:val="24"/>
        </w:rPr>
        <w:t xml:space="preserve">HFC, </w:t>
      </w:r>
      <w:proofErr w:type="spellStart"/>
      <w:r w:rsidRPr="008B5918">
        <w:rPr>
          <w:rFonts w:ascii="Arial" w:hAnsi="Arial" w:cs="Arial"/>
          <w:color w:val="202122"/>
          <w:sz w:val="24"/>
          <w:szCs w:val="24"/>
        </w:rPr>
        <w:t>perfluorocarburi</w:t>
      </w:r>
      <w:proofErr w:type="spellEnd"/>
      <w:r w:rsidRPr="008B5918">
        <w:rPr>
          <w:rFonts w:ascii="Arial" w:hAnsi="Arial" w:cs="Arial"/>
          <w:color w:val="202122"/>
          <w:sz w:val="24"/>
          <w:szCs w:val="24"/>
        </w:rPr>
        <w:t xml:space="preserve"> PFC, esafluoruro di zolfo SF</w:t>
      </w:r>
      <w:r w:rsidRPr="008B5918">
        <w:rPr>
          <w:rFonts w:ascii="Arial" w:hAnsi="Arial" w:cs="Arial"/>
          <w:color w:val="202122"/>
          <w:sz w:val="24"/>
          <w:szCs w:val="24"/>
          <w:vertAlign w:val="subscript"/>
        </w:rPr>
        <w:t>6</w:t>
      </w:r>
      <w:r w:rsidRPr="008B5918">
        <w:rPr>
          <w:rFonts w:ascii="Arial" w:hAnsi="Arial" w:cs="Arial"/>
          <w:color w:val="202122"/>
          <w:sz w:val="24"/>
          <w:szCs w:val="24"/>
        </w:rPr>
        <w:t>)</w:t>
      </w:r>
      <w:r>
        <w:rPr>
          <w:rFonts w:ascii="Arial" w:hAnsi="Arial" w:cs="Arial"/>
          <w:color w:val="202122"/>
          <w:sz w:val="24"/>
          <w:szCs w:val="24"/>
        </w:rPr>
        <w:t>;</w:t>
      </w:r>
    </w:p>
    <w:p w14:paraId="463CD912" w14:textId="77777777" w:rsidR="009A2BE5" w:rsidRPr="008B5918" w:rsidRDefault="009A2BE5" w:rsidP="00076117">
      <w:pPr>
        <w:widowControl/>
        <w:numPr>
          <w:ilvl w:val="0"/>
          <w:numId w:val="39"/>
        </w:numPr>
        <w:shd w:val="clear" w:color="auto" w:fill="FFFFFF"/>
        <w:autoSpaceDE/>
        <w:autoSpaceDN/>
        <w:spacing w:before="100" w:beforeAutospacing="1" w:after="24"/>
        <w:jc w:val="both"/>
        <w:rPr>
          <w:rFonts w:ascii="Arial" w:hAnsi="Arial" w:cs="Arial"/>
          <w:color w:val="202122"/>
          <w:sz w:val="24"/>
          <w:szCs w:val="24"/>
        </w:rPr>
      </w:pPr>
      <w:r w:rsidRPr="008B5918">
        <w:rPr>
          <w:rFonts w:ascii="Arial" w:hAnsi="Arial" w:cs="Arial"/>
          <w:color w:val="202122"/>
          <w:sz w:val="24"/>
          <w:szCs w:val="24"/>
        </w:rPr>
        <w:t>La riduzione delle emissioni deve essere addizionale alla situazione che si avrebbe in assenza di tale progetto</w:t>
      </w:r>
      <w:r>
        <w:rPr>
          <w:rStyle w:val="Rimandonotaapidipagina"/>
          <w:rFonts w:ascii="Arial" w:hAnsi="Arial" w:cs="Arial"/>
          <w:color w:val="202122"/>
          <w:sz w:val="24"/>
          <w:szCs w:val="24"/>
        </w:rPr>
        <w:footnoteReference w:id="65"/>
      </w:r>
      <w:r w:rsidRPr="008B5918">
        <w:rPr>
          <w:rFonts w:ascii="Arial" w:hAnsi="Arial" w:cs="Arial"/>
          <w:color w:val="202122"/>
          <w:sz w:val="24"/>
          <w:szCs w:val="24"/>
        </w:rPr>
        <w:t>, ovvero le emissioni reali dovute al progetto sono minori di quelle che si sarebbero avute in assenza del progetto stesso (criterio della addizionalità)</w:t>
      </w:r>
      <w:r>
        <w:rPr>
          <w:rFonts w:ascii="Arial" w:hAnsi="Arial" w:cs="Arial"/>
          <w:color w:val="202122"/>
          <w:sz w:val="24"/>
          <w:szCs w:val="24"/>
        </w:rPr>
        <w:t>;</w:t>
      </w:r>
    </w:p>
    <w:p w14:paraId="27606354" w14:textId="77777777" w:rsidR="009A2BE5" w:rsidRPr="008B5918" w:rsidRDefault="009A2BE5" w:rsidP="00076117">
      <w:pPr>
        <w:widowControl/>
        <w:numPr>
          <w:ilvl w:val="0"/>
          <w:numId w:val="39"/>
        </w:numPr>
        <w:shd w:val="clear" w:color="auto" w:fill="FFFFFF"/>
        <w:autoSpaceDE/>
        <w:autoSpaceDN/>
        <w:spacing w:before="100" w:beforeAutospacing="1" w:after="24"/>
        <w:rPr>
          <w:rFonts w:ascii="Arial" w:hAnsi="Arial" w:cs="Arial"/>
          <w:color w:val="202122"/>
          <w:sz w:val="24"/>
          <w:szCs w:val="24"/>
        </w:rPr>
      </w:pPr>
      <w:r w:rsidRPr="008B5918">
        <w:rPr>
          <w:rFonts w:ascii="Arial" w:hAnsi="Arial" w:cs="Arial"/>
          <w:color w:val="202122"/>
          <w:sz w:val="24"/>
          <w:szCs w:val="24"/>
        </w:rPr>
        <w:t>Deve essere possibile valutare quantitativamente le emissioni evitate attraverso misure, stime o altri metodi ufficialmente riconosciuti</w:t>
      </w:r>
      <w:r>
        <w:rPr>
          <w:rFonts w:ascii="Arial" w:hAnsi="Arial" w:cs="Arial"/>
          <w:color w:val="202122"/>
          <w:sz w:val="24"/>
          <w:szCs w:val="24"/>
        </w:rPr>
        <w:t>;</w:t>
      </w:r>
    </w:p>
    <w:p w14:paraId="37CF548C" w14:textId="77777777" w:rsidR="009A2BE5" w:rsidRDefault="009A2BE5" w:rsidP="00076117">
      <w:pPr>
        <w:widowControl/>
        <w:numPr>
          <w:ilvl w:val="0"/>
          <w:numId w:val="39"/>
        </w:numPr>
        <w:shd w:val="clear" w:color="auto" w:fill="FFFFFF"/>
        <w:autoSpaceDE/>
        <w:autoSpaceDN/>
        <w:spacing w:before="100" w:beforeAutospacing="1" w:after="24"/>
        <w:rPr>
          <w:rFonts w:ascii="Arial" w:hAnsi="Arial" w:cs="Arial"/>
          <w:color w:val="202122"/>
          <w:sz w:val="24"/>
          <w:szCs w:val="24"/>
        </w:rPr>
      </w:pPr>
      <w:r w:rsidRPr="0015468D">
        <w:rPr>
          <w:rFonts w:ascii="Arial" w:hAnsi="Arial" w:cs="Arial"/>
          <w:color w:val="202122"/>
          <w:sz w:val="24"/>
          <w:szCs w:val="24"/>
        </w:rPr>
        <w:t>Non sono ammessi progetti che usano energia nucleare</w:t>
      </w:r>
      <w:r>
        <w:rPr>
          <w:rFonts w:ascii="Arial" w:hAnsi="Arial" w:cs="Arial"/>
          <w:color w:val="202122"/>
          <w:sz w:val="24"/>
          <w:szCs w:val="24"/>
        </w:rPr>
        <w:t xml:space="preserve">; </w:t>
      </w:r>
    </w:p>
    <w:p w14:paraId="27EB6031" w14:textId="77777777" w:rsidR="009A2BE5" w:rsidRPr="0015468D" w:rsidRDefault="009A2BE5" w:rsidP="00076117">
      <w:pPr>
        <w:widowControl/>
        <w:numPr>
          <w:ilvl w:val="0"/>
          <w:numId w:val="39"/>
        </w:numPr>
        <w:shd w:val="clear" w:color="auto" w:fill="FFFFFF"/>
        <w:autoSpaceDE/>
        <w:autoSpaceDN/>
        <w:spacing w:before="100" w:beforeAutospacing="1" w:after="24"/>
        <w:rPr>
          <w:rFonts w:ascii="Arial" w:hAnsi="Arial" w:cs="Arial"/>
          <w:color w:val="202122"/>
          <w:sz w:val="24"/>
          <w:szCs w:val="24"/>
        </w:rPr>
      </w:pPr>
      <w:r w:rsidRPr="0015468D">
        <w:rPr>
          <w:rFonts w:ascii="Arial" w:hAnsi="Arial" w:cs="Arial"/>
          <w:color w:val="202122"/>
          <w:sz w:val="24"/>
          <w:szCs w:val="24"/>
        </w:rPr>
        <w:t>Il progetto non deve utilizzare fondi pubblici allo sviluppo</w:t>
      </w:r>
      <w:r>
        <w:rPr>
          <w:rFonts w:ascii="Arial" w:hAnsi="Arial" w:cs="Arial"/>
          <w:color w:val="202122"/>
          <w:sz w:val="24"/>
          <w:szCs w:val="24"/>
        </w:rPr>
        <w:t xml:space="preserve">. </w:t>
      </w:r>
    </w:p>
    <w:p w14:paraId="5C2F9834" w14:textId="28EEDBAF" w:rsidR="009A2BE5" w:rsidRDefault="009A2BE5" w:rsidP="006332E1">
      <w:pPr>
        <w:pStyle w:val="Corpotesto"/>
        <w:ind w:right="45"/>
        <w:jc w:val="both"/>
        <w:rPr>
          <w:rFonts w:ascii="Arial" w:hAnsi="Arial" w:cs="Arial"/>
          <w:sz w:val="24"/>
          <w:szCs w:val="24"/>
        </w:rPr>
      </w:pPr>
    </w:p>
    <w:p w14:paraId="6E6E856A" w14:textId="5BDC40D0" w:rsidR="009A2BE5" w:rsidRDefault="00D55272" w:rsidP="008A791E">
      <w:pPr>
        <w:pStyle w:val="Corpotesto"/>
        <w:ind w:right="45" w:firstLine="567"/>
        <w:jc w:val="both"/>
        <w:rPr>
          <w:rFonts w:ascii="Arial" w:hAnsi="Arial" w:cs="Arial"/>
          <w:sz w:val="24"/>
          <w:szCs w:val="24"/>
        </w:rPr>
      </w:pPr>
      <w:r>
        <w:rPr>
          <w:rFonts w:ascii="Arial" w:hAnsi="Arial" w:cs="Arial"/>
          <w:sz w:val="24"/>
          <w:szCs w:val="24"/>
        </w:rPr>
        <w:t>Per le attività di riforestazione vi sono delle regole specifiche</w:t>
      </w:r>
      <w:r w:rsidR="00A83799">
        <w:rPr>
          <w:rFonts w:ascii="Arial" w:hAnsi="Arial" w:cs="Arial"/>
          <w:sz w:val="24"/>
          <w:szCs w:val="24"/>
        </w:rPr>
        <w:t xml:space="preserve"> piuttosto articolate. Alcune delle più rilevanti sono le seguenti. </w:t>
      </w:r>
    </w:p>
    <w:p w14:paraId="663E8682" w14:textId="77777777" w:rsidR="001D6E4B" w:rsidRDefault="001D6E4B" w:rsidP="006332E1">
      <w:pPr>
        <w:pStyle w:val="Corpotesto"/>
        <w:ind w:right="45"/>
        <w:jc w:val="both"/>
        <w:rPr>
          <w:rFonts w:ascii="Arial" w:hAnsi="Arial" w:cs="Arial"/>
          <w:sz w:val="24"/>
          <w:szCs w:val="24"/>
        </w:rPr>
      </w:pPr>
    </w:p>
    <w:p w14:paraId="20011484" w14:textId="2919EBFA" w:rsidR="009B256A" w:rsidRDefault="00A83799" w:rsidP="00076117">
      <w:pPr>
        <w:pStyle w:val="Corpotesto"/>
        <w:numPr>
          <w:ilvl w:val="0"/>
          <w:numId w:val="38"/>
        </w:numPr>
        <w:ind w:right="45"/>
        <w:jc w:val="both"/>
        <w:rPr>
          <w:rFonts w:ascii="Arial" w:hAnsi="Arial" w:cs="Arial"/>
          <w:sz w:val="24"/>
          <w:szCs w:val="24"/>
        </w:rPr>
      </w:pPr>
      <w:r>
        <w:rPr>
          <w:rFonts w:ascii="Arial" w:hAnsi="Arial" w:cs="Arial"/>
          <w:sz w:val="24"/>
          <w:szCs w:val="24"/>
        </w:rPr>
        <w:t>La d</w:t>
      </w:r>
      <w:r w:rsidR="000014D4">
        <w:rPr>
          <w:rFonts w:ascii="Arial" w:hAnsi="Arial" w:cs="Arial"/>
          <w:sz w:val="24"/>
          <w:szCs w:val="24"/>
        </w:rPr>
        <w:t>efinizione di s</w:t>
      </w:r>
      <w:r w:rsidR="009E15D0">
        <w:rPr>
          <w:rFonts w:ascii="Arial" w:hAnsi="Arial" w:cs="Arial"/>
          <w:sz w:val="24"/>
          <w:szCs w:val="24"/>
        </w:rPr>
        <w:t>trumenti integrati volti ad indentificare la baseline e a dimostrare addizionalità ne</w:t>
      </w:r>
      <w:r w:rsidR="001D6E4B">
        <w:rPr>
          <w:rFonts w:ascii="Arial" w:hAnsi="Arial" w:cs="Arial"/>
          <w:sz w:val="24"/>
          <w:szCs w:val="24"/>
        </w:rPr>
        <w:t>i</w:t>
      </w:r>
      <w:r w:rsidR="006E3B10">
        <w:rPr>
          <w:rFonts w:ascii="Arial" w:hAnsi="Arial" w:cs="Arial"/>
          <w:sz w:val="24"/>
          <w:szCs w:val="24"/>
        </w:rPr>
        <w:t xml:space="preserve"> progetti</w:t>
      </w:r>
      <w:r w:rsidR="00EC080E">
        <w:rPr>
          <w:rFonts w:ascii="Arial" w:hAnsi="Arial" w:cs="Arial"/>
          <w:sz w:val="24"/>
          <w:szCs w:val="24"/>
        </w:rPr>
        <w:t xml:space="preserve"> (screening preliminari, analisi delle barriere, analisi degli investimenti, </w:t>
      </w:r>
      <w:r w:rsidR="002627F3">
        <w:rPr>
          <w:rFonts w:ascii="Arial" w:hAnsi="Arial" w:cs="Arial"/>
          <w:sz w:val="24"/>
          <w:szCs w:val="24"/>
        </w:rPr>
        <w:t>definizione dello scenario di baseline e analisi delle pratiche comuni di gestione forestale</w:t>
      </w:r>
      <w:r w:rsidR="001A488A">
        <w:rPr>
          <w:rFonts w:ascii="Arial" w:hAnsi="Arial" w:cs="Arial"/>
          <w:sz w:val="24"/>
          <w:szCs w:val="24"/>
        </w:rPr>
        <w:t>)</w:t>
      </w:r>
      <w:r w:rsidR="006C04D4">
        <w:rPr>
          <w:rFonts w:ascii="Arial" w:hAnsi="Arial" w:cs="Arial"/>
          <w:sz w:val="24"/>
          <w:szCs w:val="24"/>
        </w:rPr>
        <w:t>.</w:t>
      </w:r>
    </w:p>
    <w:p w14:paraId="5069A691" w14:textId="236B6996" w:rsidR="00D8391E" w:rsidRDefault="00A83799" w:rsidP="00076117">
      <w:pPr>
        <w:pStyle w:val="Corpotesto"/>
        <w:numPr>
          <w:ilvl w:val="0"/>
          <w:numId w:val="38"/>
        </w:numPr>
        <w:ind w:right="45"/>
        <w:jc w:val="both"/>
        <w:rPr>
          <w:rFonts w:ascii="Arial" w:hAnsi="Arial" w:cs="Arial"/>
          <w:sz w:val="24"/>
          <w:szCs w:val="24"/>
        </w:rPr>
      </w:pPr>
      <w:r>
        <w:rPr>
          <w:rFonts w:ascii="Arial" w:hAnsi="Arial" w:cs="Arial"/>
          <w:sz w:val="24"/>
          <w:szCs w:val="24"/>
        </w:rPr>
        <w:t>Il c</w:t>
      </w:r>
      <w:r w:rsidR="00D8391E">
        <w:rPr>
          <w:rFonts w:ascii="Arial" w:hAnsi="Arial" w:cs="Arial"/>
          <w:sz w:val="24"/>
          <w:szCs w:val="24"/>
        </w:rPr>
        <w:t>alcolo degli elementi di camp</w:t>
      </w:r>
      <w:r w:rsidR="007459B4">
        <w:rPr>
          <w:rFonts w:ascii="Arial" w:hAnsi="Arial" w:cs="Arial"/>
          <w:sz w:val="24"/>
          <w:szCs w:val="24"/>
        </w:rPr>
        <w:t>ionatura</w:t>
      </w:r>
      <w:r w:rsidR="00331F53">
        <w:rPr>
          <w:rFonts w:ascii="Arial" w:hAnsi="Arial" w:cs="Arial"/>
          <w:sz w:val="24"/>
          <w:szCs w:val="24"/>
        </w:rPr>
        <w:t xml:space="preserve"> della biomassa</w:t>
      </w:r>
      <w:r w:rsidR="007459B4">
        <w:rPr>
          <w:rFonts w:ascii="Arial" w:hAnsi="Arial" w:cs="Arial"/>
          <w:sz w:val="24"/>
          <w:szCs w:val="24"/>
        </w:rPr>
        <w:t xml:space="preserve"> per le misurazioni di monitoraggio</w:t>
      </w:r>
      <w:r w:rsidR="00F018A2">
        <w:rPr>
          <w:rFonts w:ascii="Arial" w:hAnsi="Arial" w:cs="Arial"/>
          <w:sz w:val="24"/>
          <w:szCs w:val="24"/>
        </w:rPr>
        <w:t xml:space="preserve"> da effettuare durante il progetto</w:t>
      </w:r>
      <w:r w:rsidR="000F49F5">
        <w:rPr>
          <w:rFonts w:ascii="Arial" w:hAnsi="Arial" w:cs="Arial"/>
          <w:sz w:val="24"/>
          <w:szCs w:val="24"/>
        </w:rPr>
        <w:t xml:space="preserve"> </w:t>
      </w:r>
    </w:p>
    <w:p w14:paraId="6E50692F" w14:textId="3D5DC654" w:rsidR="0069430D" w:rsidRDefault="00A83799" w:rsidP="00076117">
      <w:pPr>
        <w:pStyle w:val="Corpotesto"/>
        <w:numPr>
          <w:ilvl w:val="0"/>
          <w:numId w:val="38"/>
        </w:numPr>
        <w:ind w:right="45"/>
        <w:jc w:val="both"/>
        <w:rPr>
          <w:rFonts w:ascii="Arial" w:hAnsi="Arial" w:cs="Arial"/>
          <w:sz w:val="24"/>
          <w:szCs w:val="24"/>
        </w:rPr>
      </w:pPr>
      <w:r>
        <w:rPr>
          <w:rFonts w:ascii="Arial" w:hAnsi="Arial" w:cs="Arial"/>
          <w:sz w:val="24"/>
          <w:szCs w:val="24"/>
        </w:rPr>
        <w:t>La s</w:t>
      </w:r>
      <w:r w:rsidR="00A326F4">
        <w:rPr>
          <w:rFonts w:ascii="Arial" w:hAnsi="Arial" w:cs="Arial"/>
          <w:sz w:val="24"/>
          <w:szCs w:val="24"/>
        </w:rPr>
        <w:t>tima de</w:t>
      </w:r>
      <w:r w:rsidR="0087347E">
        <w:rPr>
          <w:rFonts w:ascii="Arial" w:hAnsi="Arial" w:cs="Arial"/>
          <w:sz w:val="24"/>
          <w:szCs w:val="24"/>
        </w:rPr>
        <w:t>lle emissioni non da gas GHG emergenti da combustione della biomassa</w:t>
      </w:r>
      <w:r w:rsidR="007003C4">
        <w:rPr>
          <w:rFonts w:ascii="Arial" w:hAnsi="Arial" w:cs="Arial"/>
          <w:sz w:val="24"/>
          <w:szCs w:val="24"/>
        </w:rPr>
        <w:t xml:space="preserve"> attribuibile all’area dove il progetto è implementato</w:t>
      </w:r>
      <w:r w:rsidR="006C04D4">
        <w:rPr>
          <w:rFonts w:ascii="Arial" w:hAnsi="Arial" w:cs="Arial"/>
          <w:sz w:val="24"/>
          <w:szCs w:val="24"/>
        </w:rPr>
        <w:t>;</w:t>
      </w:r>
      <w:r w:rsidR="00C41FD9">
        <w:rPr>
          <w:rFonts w:ascii="Arial" w:hAnsi="Arial" w:cs="Arial"/>
          <w:sz w:val="24"/>
          <w:szCs w:val="24"/>
        </w:rPr>
        <w:t xml:space="preserve"> si riferisce sia agli incendi </w:t>
      </w:r>
      <w:r w:rsidR="00B02EF3">
        <w:rPr>
          <w:rFonts w:ascii="Arial" w:hAnsi="Arial" w:cs="Arial"/>
          <w:sz w:val="24"/>
          <w:szCs w:val="24"/>
        </w:rPr>
        <w:t xml:space="preserve">boschivi sia agli incendi utilizzati per preparare il terreno ad un piano di </w:t>
      </w:r>
      <w:r>
        <w:rPr>
          <w:rFonts w:ascii="Arial" w:hAnsi="Arial" w:cs="Arial"/>
          <w:sz w:val="24"/>
          <w:szCs w:val="24"/>
        </w:rPr>
        <w:t>ri</w:t>
      </w:r>
      <w:r w:rsidR="00B02EF3">
        <w:rPr>
          <w:rFonts w:ascii="Arial" w:hAnsi="Arial" w:cs="Arial"/>
          <w:sz w:val="24"/>
          <w:szCs w:val="24"/>
        </w:rPr>
        <w:t>forestazione</w:t>
      </w:r>
      <w:r w:rsidR="006C04D4">
        <w:rPr>
          <w:rFonts w:ascii="Arial" w:hAnsi="Arial" w:cs="Arial"/>
          <w:sz w:val="24"/>
          <w:szCs w:val="24"/>
        </w:rPr>
        <w:t>.</w:t>
      </w:r>
    </w:p>
    <w:p w14:paraId="26DAC0E0" w14:textId="3EEB3013" w:rsidR="006C04D4" w:rsidRDefault="00A83799" w:rsidP="00076117">
      <w:pPr>
        <w:pStyle w:val="Corpotesto"/>
        <w:numPr>
          <w:ilvl w:val="0"/>
          <w:numId w:val="38"/>
        </w:numPr>
        <w:ind w:right="45"/>
        <w:jc w:val="both"/>
        <w:rPr>
          <w:rFonts w:ascii="Arial" w:hAnsi="Arial" w:cs="Arial"/>
          <w:sz w:val="24"/>
          <w:szCs w:val="24"/>
        </w:rPr>
      </w:pPr>
      <w:r>
        <w:rPr>
          <w:rFonts w:ascii="Arial" w:hAnsi="Arial" w:cs="Arial"/>
          <w:sz w:val="24"/>
          <w:szCs w:val="24"/>
        </w:rPr>
        <w:t>La s</w:t>
      </w:r>
      <w:r w:rsidR="00453B24">
        <w:rPr>
          <w:rFonts w:ascii="Arial" w:hAnsi="Arial" w:cs="Arial"/>
          <w:sz w:val="24"/>
          <w:szCs w:val="24"/>
        </w:rPr>
        <w:t>tima del carbon stock e de</w:t>
      </w:r>
      <w:r w:rsidR="00635FDF">
        <w:rPr>
          <w:rFonts w:ascii="Arial" w:hAnsi="Arial" w:cs="Arial"/>
          <w:sz w:val="24"/>
          <w:szCs w:val="24"/>
        </w:rPr>
        <w:t>lla sua variazione</w:t>
      </w:r>
      <w:r w:rsidR="00FA653F">
        <w:rPr>
          <w:rFonts w:ascii="Arial" w:hAnsi="Arial" w:cs="Arial"/>
          <w:sz w:val="24"/>
          <w:szCs w:val="24"/>
        </w:rPr>
        <w:t xml:space="preserve"> nella biomassa arborea,</w:t>
      </w:r>
      <w:r w:rsidR="00635FDF">
        <w:rPr>
          <w:rFonts w:ascii="Arial" w:hAnsi="Arial" w:cs="Arial"/>
          <w:sz w:val="24"/>
          <w:szCs w:val="24"/>
        </w:rPr>
        <w:t xml:space="preserve"> </w:t>
      </w:r>
      <w:r w:rsidR="00B114A0">
        <w:rPr>
          <w:rFonts w:ascii="Arial" w:hAnsi="Arial" w:cs="Arial"/>
          <w:sz w:val="24"/>
          <w:szCs w:val="24"/>
        </w:rPr>
        <w:t>nel suolo,</w:t>
      </w:r>
      <w:r w:rsidR="007432A9">
        <w:rPr>
          <w:rFonts w:ascii="Arial" w:hAnsi="Arial" w:cs="Arial"/>
          <w:sz w:val="24"/>
          <w:szCs w:val="24"/>
        </w:rPr>
        <w:t xml:space="preserve"> </w:t>
      </w:r>
      <w:r w:rsidR="00635FDF">
        <w:rPr>
          <w:rFonts w:ascii="Arial" w:hAnsi="Arial" w:cs="Arial"/>
          <w:sz w:val="24"/>
          <w:szCs w:val="24"/>
        </w:rPr>
        <w:t xml:space="preserve">nella lettiera e nel legno morto </w:t>
      </w:r>
      <w:r w:rsidR="005954D8">
        <w:rPr>
          <w:rFonts w:ascii="Arial" w:hAnsi="Arial" w:cs="Arial"/>
          <w:sz w:val="24"/>
          <w:szCs w:val="24"/>
        </w:rPr>
        <w:t xml:space="preserve">nell’area progettuale. </w:t>
      </w:r>
    </w:p>
    <w:p w14:paraId="7A24E176" w14:textId="08192FCD" w:rsidR="007432A9" w:rsidRDefault="00A83799" w:rsidP="00076117">
      <w:pPr>
        <w:pStyle w:val="Corpotesto"/>
        <w:numPr>
          <w:ilvl w:val="0"/>
          <w:numId w:val="38"/>
        </w:numPr>
        <w:ind w:right="45"/>
        <w:jc w:val="both"/>
        <w:rPr>
          <w:rFonts w:ascii="Arial" w:hAnsi="Arial" w:cs="Arial"/>
          <w:sz w:val="24"/>
          <w:szCs w:val="24"/>
        </w:rPr>
      </w:pPr>
      <w:r>
        <w:rPr>
          <w:rFonts w:ascii="Arial" w:hAnsi="Arial" w:cs="Arial"/>
          <w:sz w:val="24"/>
          <w:szCs w:val="24"/>
        </w:rPr>
        <w:t>La s</w:t>
      </w:r>
      <w:r w:rsidR="00F01728">
        <w:rPr>
          <w:rFonts w:ascii="Arial" w:hAnsi="Arial" w:cs="Arial"/>
          <w:sz w:val="24"/>
          <w:szCs w:val="24"/>
        </w:rPr>
        <w:t>tima della biomassa</w:t>
      </w:r>
      <w:r w:rsidR="001F218F">
        <w:rPr>
          <w:rFonts w:ascii="Arial" w:hAnsi="Arial" w:cs="Arial"/>
          <w:sz w:val="24"/>
          <w:szCs w:val="24"/>
        </w:rPr>
        <w:t xml:space="preserve"> ipogea ed epigea mediante un appropriato set di equazioni</w:t>
      </w:r>
      <w:r>
        <w:rPr>
          <w:rFonts w:ascii="Arial" w:hAnsi="Arial" w:cs="Arial"/>
          <w:sz w:val="24"/>
          <w:szCs w:val="24"/>
        </w:rPr>
        <w:t>.</w:t>
      </w:r>
    </w:p>
    <w:p w14:paraId="556EE82F" w14:textId="6378FD61" w:rsidR="00FA653F" w:rsidRDefault="00A83799" w:rsidP="00076117">
      <w:pPr>
        <w:pStyle w:val="Corpotesto"/>
        <w:numPr>
          <w:ilvl w:val="0"/>
          <w:numId w:val="38"/>
        </w:numPr>
        <w:ind w:right="45"/>
        <w:jc w:val="both"/>
        <w:rPr>
          <w:rFonts w:ascii="Arial" w:hAnsi="Arial" w:cs="Arial"/>
          <w:sz w:val="24"/>
          <w:szCs w:val="24"/>
        </w:rPr>
      </w:pPr>
      <w:r>
        <w:rPr>
          <w:rFonts w:ascii="Arial" w:hAnsi="Arial" w:cs="Arial"/>
          <w:sz w:val="24"/>
          <w:szCs w:val="24"/>
        </w:rPr>
        <w:t>La d</w:t>
      </w:r>
      <w:r w:rsidR="00AD2F24">
        <w:rPr>
          <w:rFonts w:ascii="Arial" w:hAnsi="Arial" w:cs="Arial"/>
          <w:sz w:val="24"/>
          <w:szCs w:val="24"/>
        </w:rPr>
        <w:t>imostrazione, mediante strumenti cartografici</w:t>
      </w:r>
      <w:r w:rsidR="00A9195E">
        <w:rPr>
          <w:rFonts w:ascii="Arial" w:hAnsi="Arial" w:cs="Arial"/>
          <w:sz w:val="24"/>
          <w:szCs w:val="24"/>
        </w:rPr>
        <w:t xml:space="preserve">, foto e immagini satellitari che l’area è appropriata per un Progetto CDM e per la sua Governance. </w:t>
      </w:r>
    </w:p>
    <w:p w14:paraId="2E0466FA" w14:textId="77777777" w:rsidR="005954D8" w:rsidRDefault="005954D8" w:rsidP="006332E1">
      <w:pPr>
        <w:pStyle w:val="Corpotesto"/>
        <w:ind w:right="45"/>
        <w:jc w:val="both"/>
        <w:rPr>
          <w:rFonts w:ascii="Arial" w:hAnsi="Arial" w:cs="Arial"/>
          <w:sz w:val="24"/>
          <w:szCs w:val="24"/>
        </w:rPr>
      </w:pPr>
    </w:p>
    <w:p w14:paraId="4BAD61AA" w14:textId="5CF22AE2" w:rsidR="00F018A2" w:rsidRDefault="00A83799" w:rsidP="00000A41">
      <w:pPr>
        <w:pStyle w:val="Corpotesto"/>
        <w:ind w:right="45" w:firstLine="567"/>
        <w:jc w:val="both"/>
        <w:rPr>
          <w:rFonts w:ascii="Arial" w:hAnsi="Arial" w:cs="Arial"/>
          <w:sz w:val="24"/>
          <w:szCs w:val="24"/>
        </w:rPr>
      </w:pPr>
      <w:r>
        <w:rPr>
          <w:rFonts w:ascii="Arial" w:hAnsi="Arial" w:cs="Arial"/>
          <w:sz w:val="24"/>
          <w:szCs w:val="24"/>
        </w:rPr>
        <w:t>Ognuna di queste regole</w:t>
      </w:r>
      <w:r w:rsidR="00CF13BC">
        <w:rPr>
          <w:rFonts w:ascii="Arial" w:hAnsi="Arial" w:cs="Arial"/>
          <w:sz w:val="24"/>
          <w:szCs w:val="24"/>
        </w:rPr>
        <w:t xml:space="preserve"> ha uno o più documenti normativi </w:t>
      </w:r>
      <w:r w:rsidR="00000A41">
        <w:rPr>
          <w:rFonts w:ascii="Arial" w:hAnsi="Arial" w:cs="Arial"/>
          <w:sz w:val="24"/>
          <w:szCs w:val="24"/>
        </w:rPr>
        <w:t xml:space="preserve">che descrivono la sua applicazione all’attività progettuale. </w:t>
      </w:r>
      <w:r w:rsidR="00292E72">
        <w:rPr>
          <w:rFonts w:ascii="Arial" w:hAnsi="Arial" w:cs="Arial"/>
          <w:sz w:val="24"/>
          <w:szCs w:val="24"/>
        </w:rPr>
        <w:t xml:space="preserve">Si ritiene utile nello sviluppo delle attività del progetto LIFE CO2PES&amp;PEF fare uno screening di queste regole per </w:t>
      </w:r>
      <w:r w:rsidR="00296E18">
        <w:rPr>
          <w:rFonts w:ascii="Arial" w:hAnsi="Arial" w:cs="Arial"/>
          <w:sz w:val="24"/>
          <w:szCs w:val="24"/>
        </w:rPr>
        <w:t xml:space="preserve">definire le procedure da applicare all’interno del progetto per l’emissione dei Crediti ecosistemici. </w:t>
      </w:r>
    </w:p>
    <w:p w14:paraId="607C87E8" w14:textId="5A6F9CD4" w:rsidR="00E528EB" w:rsidRDefault="0060055D" w:rsidP="00E528EB">
      <w:pPr>
        <w:pStyle w:val="Corpotesto"/>
        <w:ind w:right="45" w:firstLine="567"/>
        <w:jc w:val="both"/>
        <w:rPr>
          <w:rFonts w:ascii="Arial" w:hAnsi="Arial" w:cs="Arial"/>
          <w:sz w:val="24"/>
          <w:szCs w:val="24"/>
        </w:rPr>
      </w:pPr>
      <w:r>
        <w:rPr>
          <w:rFonts w:ascii="Arial" w:hAnsi="Arial" w:cs="Arial"/>
          <w:sz w:val="24"/>
          <w:szCs w:val="24"/>
        </w:rPr>
        <w:t>Va precisato che i</w:t>
      </w:r>
      <w:r w:rsidR="005C7BC1" w:rsidRPr="005C7BC1">
        <w:rPr>
          <w:rFonts w:ascii="Arial" w:hAnsi="Arial" w:cs="Arial"/>
          <w:sz w:val="24"/>
          <w:szCs w:val="24"/>
        </w:rPr>
        <w:t>l Protocollo di Kyoto si è concluso nel 2012, ma la strategia sui Cambiamenti Climatici è proseguita con l’Accordo di Parigi. In questo accordo si stabilisce, tra l’altro, il superamento della divisione tra Paesi «</w:t>
      </w:r>
      <w:proofErr w:type="spellStart"/>
      <w:r w:rsidR="005C7BC1" w:rsidRPr="005C7BC1">
        <w:rPr>
          <w:rFonts w:ascii="Arial" w:hAnsi="Arial" w:cs="Arial"/>
          <w:sz w:val="24"/>
          <w:szCs w:val="24"/>
        </w:rPr>
        <w:t>Annex</w:t>
      </w:r>
      <w:proofErr w:type="spellEnd"/>
      <w:r w:rsidR="005C7BC1" w:rsidRPr="005C7BC1">
        <w:rPr>
          <w:rFonts w:ascii="Arial" w:hAnsi="Arial" w:cs="Arial"/>
          <w:sz w:val="24"/>
          <w:szCs w:val="24"/>
        </w:rPr>
        <w:t xml:space="preserve"> 1» e altri Paesi. </w:t>
      </w:r>
      <w:r w:rsidR="008928FB" w:rsidRPr="005C7BC1">
        <w:rPr>
          <w:rFonts w:ascii="Arial" w:hAnsi="Arial" w:cs="Arial"/>
          <w:sz w:val="24"/>
          <w:szCs w:val="24"/>
        </w:rPr>
        <w:lastRenderedPageBreak/>
        <w:t>Nonostante non sia stato ancora sancito il nuovo accordo della Conferenza delle Parti di UNFCCC, molti Paesi hanno sviluppato o stanno sviluppando dei mercati ETS</w:t>
      </w:r>
      <w:r w:rsidR="00A478B0">
        <w:rPr>
          <w:rFonts w:ascii="Arial" w:hAnsi="Arial" w:cs="Arial"/>
          <w:sz w:val="24"/>
          <w:szCs w:val="24"/>
        </w:rPr>
        <w:t>, come si può vedere dalla figura successiva</w:t>
      </w:r>
      <w:r w:rsidR="008928FB" w:rsidRPr="005C7BC1">
        <w:rPr>
          <w:rFonts w:ascii="Arial" w:hAnsi="Arial" w:cs="Arial"/>
          <w:sz w:val="24"/>
          <w:szCs w:val="24"/>
        </w:rPr>
        <w:t xml:space="preserve">. </w:t>
      </w:r>
      <w:r w:rsidR="00EF498F">
        <w:rPr>
          <w:rFonts w:ascii="Arial" w:hAnsi="Arial" w:cs="Arial"/>
          <w:sz w:val="24"/>
          <w:szCs w:val="24"/>
        </w:rPr>
        <w:t xml:space="preserve">Sotto questo profilo, </w:t>
      </w:r>
      <w:r w:rsidR="005B4892">
        <w:rPr>
          <w:rFonts w:ascii="Arial" w:hAnsi="Arial" w:cs="Arial"/>
          <w:sz w:val="24"/>
          <w:szCs w:val="24"/>
        </w:rPr>
        <w:t>m</w:t>
      </w:r>
      <w:r w:rsidR="00E528EB" w:rsidRPr="005C7BC1">
        <w:rPr>
          <w:rFonts w:ascii="Arial" w:hAnsi="Arial" w:cs="Arial"/>
          <w:sz w:val="24"/>
          <w:szCs w:val="24"/>
        </w:rPr>
        <w:t xml:space="preserve">olti giuristi ed esperti concordano che l’art. 6 dell’Accordo di Parigi rappresenti una base giuridica per lo sviluppo dei mercati ETS e lo scambio delle quote tra di essi, nonostante manchi ancora un accordo nella Conferenza delle Parti. </w:t>
      </w:r>
    </w:p>
    <w:p w14:paraId="06E05533" w14:textId="65FCAB8A" w:rsidR="005B4892" w:rsidRPr="005C7BC1" w:rsidRDefault="005B4892" w:rsidP="00E528EB">
      <w:pPr>
        <w:pStyle w:val="Corpotesto"/>
        <w:ind w:right="45" w:firstLine="567"/>
        <w:jc w:val="both"/>
        <w:rPr>
          <w:rFonts w:ascii="Arial" w:hAnsi="Arial" w:cs="Arial"/>
          <w:sz w:val="24"/>
          <w:szCs w:val="24"/>
        </w:rPr>
      </w:pPr>
      <w:r>
        <w:rPr>
          <w:rFonts w:ascii="Arial" w:hAnsi="Arial" w:cs="Arial"/>
          <w:sz w:val="24"/>
          <w:szCs w:val="24"/>
        </w:rPr>
        <w:t xml:space="preserve">Sebbene </w:t>
      </w:r>
      <w:r w:rsidR="00C71526">
        <w:rPr>
          <w:rFonts w:ascii="Arial" w:hAnsi="Arial" w:cs="Arial"/>
          <w:sz w:val="24"/>
          <w:szCs w:val="24"/>
        </w:rPr>
        <w:t xml:space="preserve">i crediti di sostenibilità che verranno sviluppati nell’ambito del Progetto LIFE CO2PES&amp;PEF non siano </w:t>
      </w:r>
      <w:r w:rsidR="00A937AE">
        <w:rPr>
          <w:rFonts w:ascii="Arial" w:hAnsi="Arial" w:cs="Arial"/>
          <w:sz w:val="24"/>
          <w:szCs w:val="24"/>
        </w:rPr>
        <w:t xml:space="preserve">primariamente indirizzati ai mercati ETS, si ritiene importante </w:t>
      </w:r>
      <w:r w:rsidR="00654E12">
        <w:rPr>
          <w:rFonts w:ascii="Arial" w:hAnsi="Arial" w:cs="Arial"/>
          <w:sz w:val="24"/>
          <w:szCs w:val="24"/>
        </w:rPr>
        <w:t>fare in modo che dal punto di vista dell</w:t>
      </w:r>
      <w:r w:rsidR="009B1DFD">
        <w:rPr>
          <w:rFonts w:ascii="Arial" w:hAnsi="Arial" w:cs="Arial"/>
          <w:sz w:val="24"/>
          <w:szCs w:val="24"/>
        </w:rPr>
        <w:t>a</w:t>
      </w:r>
      <w:r w:rsidR="00654E12">
        <w:rPr>
          <w:rFonts w:ascii="Arial" w:hAnsi="Arial" w:cs="Arial"/>
          <w:sz w:val="24"/>
          <w:szCs w:val="24"/>
        </w:rPr>
        <w:t xml:space="preserve"> metodologia e da quello delle procedure i crediti di sostenibilità del progetto</w:t>
      </w:r>
      <w:r w:rsidR="007C395F">
        <w:rPr>
          <w:rFonts w:ascii="Arial" w:hAnsi="Arial" w:cs="Arial"/>
          <w:sz w:val="24"/>
          <w:szCs w:val="24"/>
        </w:rPr>
        <w:t>,</w:t>
      </w:r>
      <w:r w:rsidR="00654E12">
        <w:rPr>
          <w:rFonts w:ascii="Arial" w:hAnsi="Arial" w:cs="Arial"/>
          <w:sz w:val="24"/>
          <w:szCs w:val="24"/>
        </w:rPr>
        <w:t xml:space="preserve"> quelli dei mercati </w:t>
      </w:r>
      <w:r w:rsidR="00FA5A1C">
        <w:rPr>
          <w:rFonts w:ascii="Arial" w:hAnsi="Arial" w:cs="Arial"/>
          <w:sz w:val="24"/>
          <w:szCs w:val="24"/>
        </w:rPr>
        <w:t>ETS internazionali</w:t>
      </w:r>
      <w:r w:rsidR="007C395F">
        <w:rPr>
          <w:rFonts w:ascii="Arial" w:hAnsi="Arial" w:cs="Arial"/>
          <w:sz w:val="24"/>
          <w:szCs w:val="24"/>
        </w:rPr>
        <w:t xml:space="preserve"> e quelli degli schemi volontari</w:t>
      </w:r>
      <w:r w:rsidR="00FA5A1C">
        <w:rPr>
          <w:rFonts w:ascii="Arial" w:hAnsi="Arial" w:cs="Arial"/>
          <w:sz w:val="24"/>
          <w:szCs w:val="24"/>
        </w:rPr>
        <w:t xml:space="preserve"> siano il più compatibili possibile, in modo da garantire </w:t>
      </w:r>
      <w:r w:rsidR="005C09ED">
        <w:rPr>
          <w:rFonts w:ascii="Arial" w:hAnsi="Arial" w:cs="Arial"/>
          <w:sz w:val="24"/>
          <w:szCs w:val="24"/>
        </w:rPr>
        <w:t xml:space="preserve">un futuro riconoscimento reciproco. </w:t>
      </w:r>
    </w:p>
    <w:p w14:paraId="1BBFD77F" w14:textId="29BAD963" w:rsidR="001622AE" w:rsidRDefault="001622AE" w:rsidP="006332E1">
      <w:pPr>
        <w:pStyle w:val="Corpotesto"/>
        <w:ind w:right="45"/>
        <w:jc w:val="both"/>
        <w:rPr>
          <w:rFonts w:ascii="Arial" w:hAnsi="Arial" w:cs="Arial"/>
          <w:sz w:val="24"/>
          <w:szCs w:val="24"/>
        </w:rPr>
      </w:pPr>
    </w:p>
    <w:p w14:paraId="003271ED" w14:textId="6F43F287" w:rsidR="001622AE" w:rsidRDefault="001622AE" w:rsidP="006332E1">
      <w:pPr>
        <w:pStyle w:val="Corpotesto"/>
        <w:ind w:right="45"/>
        <w:jc w:val="both"/>
        <w:rPr>
          <w:rFonts w:ascii="Arial" w:hAnsi="Arial" w:cs="Arial"/>
          <w:sz w:val="24"/>
          <w:szCs w:val="24"/>
        </w:rPr>
      </w:pPr>
      <w:r w:rsidRPr="001622AE">
        <w:rPr>
          <w:rFonts w:ascii="Arial" w:hAnsi="Arial" w:cs="Arial"/>
          <w:noProof/>
          <w:sz w:val="24"/>
          <w:szCs w:val="24"/>
        </w:rPr>
        <w:drawing>
          <wp:inline distT="0" distB="0" distL="0" distR="0" wp14:anchorId="1CBC12F7" wp14:editId="78C34A3A">
            <wp:extent cx="6116320" cy="3046095"/>
            <wp:effectExtent l="0" t="0" r="0" b="0"/>
            <wp:docPr id="10" name="Immagine 9" descr="Immagine che contiene mappa&#10;&#10;Descrizione generata automaticamente">
              <a:extLst xmlns:a="http://schemas.openxmlformats.org/drawingml/2006/main">
                <a:ext uri="{FF2B5EF4-FFF2-40B4-BE49-F238E27FC236}">
                  <a16:creationId xmlns:a16="http://schemas.microsoft.com/office/drawing/2014/main" id="{B056A5DD-D07E-47FD-A8E6-00EE8BF6CF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9" descr="Immagine che contiene mappa&#10;&#10;Descrizione generata automaticamente">
                      <a:extLst>
                        <a:ext uri="{FF2B5EF4-FFF2-40B4-BE49-F238E27FC236}">
                          <a16:creationId xmlns:a16="http://schemas.microsoft.com/office/drawing/2014/main" id="{B056A5DD-D07E-47FD-A8E6-00EE8BF6CF0E}"/>
                        </a:ext>
                      </a:extLst>
                    </pic:cNvPr>
                    <pic:cNvPicPr>
                      <a:picLocks noChangeAspect="1"/>
                    </pic:cNvPicPr>
                  </pic:nvPicPr>
                  <pic:blipFill>
                    <a:blip r:embed="rId10"/>
                    <a:stretch>
                      <a:fillRect/>
                    </a:stretch>
                  </pic:blipFill>
                  <pic:spPr>
                    <a:xfrm>
                      <a:off x="0" y="0"/>
                      <a:ext cx="6116320" cy="3046095"/>
                    </a:xfrm>
                    <a:prstGeom prst="rect">
                      <a:avLst/>
                    </a:prstGeom>
                  </pic:spPr>
                </pic:pic>
              </a:graphicData>
            </a:graphic>
          </wp:inline>
        </w:drawing>
      </w:r>
    </w:p>
    <w:p w14:paraId="713C665D" w14:textId="12C7886F" w:rsidR="00E42537" w:rsidRPr="00935CF6" w:rsidRDefault="00E42537" w:rsidP="00E42537">
      <w:pPr>
        <w:pStyle w:val="Corpotesto"/>
        <w:ind w:right="45" w:firstLine="567"/>
        <w:jc w:val="center"/>
        <w:rPr>
          <w:rFonts w:ascii="Arial" w:hAnsi="Arial" w:cs="Arial"/>
          <w:sz w:val="20"/>
          <w:szCs w:val="20"/>
        </w:rPr>
      </w:pPr>
      <w:r w:rsidRPr="00935CF6">
        <w:rPr>
          <w:rFonts w:ascii="Arial" w:hAnsi="Arial" w:cs="Arial"/>
          <w:sz w:val="20"/>
          <w:szCs w:val="20"/>
        </w:rPr>
        <w:t xml:space="preserve">Fig. </w:t>
      </w:r>
      <w:r>
        <w:rPr>
          <w:rFonts w:ascii="Arial" w:hAnsi="Arial" w:cs="Arial"/>
          <w:sz w:val="20"/>
          <w:szCs w:val="20"/>
        </w:rPr>
        <w:t>3</w:t>
      </w:r>
      <w:r w:rsidRPr="00935CF6">
        <w:rPr>
          <w:rFonts w:ascii="Arial" w:hAnsi="Arial" w:cs="Arial"/>
          <w:sz w:val="20"/>
          <w:szCs w:val="20"/>
        </w:rPr>
        <w:t xml:space="preserve"> – </w:t>
      </w:r>
      <w:r>
        <w:rPr>
          <w:rFonts w:ascii="Arial" w:hAnsi="Arial" w:cs="Arial"/>
          <w:sz w:val="20"/>
          <w:szCs w:val="20"/>
        </w:rPr>
        <w:t xml:space="preserve">Diffusione dei mercati </w:t>
      </w:r>
      <w:r w:rsidRPr="00935CF6">
        <w:rPr>
          <w:rFonts w:ascii="Arial" w:hAnsi="Arial" w:cs="Arial"/>
          <w:sz w:val="20"/>
          <w:szCs w:val="20"/>
        </w:rPr>
        <w:t>ETS</w:t>
      </w:r>
      <w:r w:rsidR="007A66BF">
        <w:rPr>
          <w:rFonts w:ascii="Arial" w:hAnsi="Arial" w:cs="Arial"/>
          <w:sz w:val="20"/>
          <w:szCs w:val="20"/>
        </w:rPr>
        <w:t xml:space="preserve"> a livello mondiale</w:t>
      </w:r>
      <w:r w:rsidRPr="00935CF6">
        <w:rPr>
          <w:rFonts w:ascii="Arial" w:hAnsi="Arial" w:cs="Arial"/>
          <w:sz w:val="20"/>
          <w:szCs w:val="20"/>
        </w:rPr>
        <w:t xml:space="preserve"> (Fonte: ISPRA)</w:t>
      </w:r>
    </w:p>
    <w:p w14:paraId="61DDE11C" w14:textId="03443864" w:rsidR="005C7BC1" w:rsidRDefault="005C7BC1" w:rsidP="006332E1">
      <w:pPr>
        <w:pStyle w:val="Corpotesto"/>
        <w:ind w:right="45"/>
        <w:jc w:val="both"/>
        <w:rPr>
          <w:rFonts w:ascii="Arial" w:hAnsi="Arial" w:cs="Arial"/>
          <w:sz w:val="24"/>
          <w:szCs w:val="24"/>
        </w:rPr>
      </w:pPr>
    </w:p>
    <w:p w14:paraId="546AABB6" w14:textId="77777777" w:rsidR="0015468D" w:rsidRDefault="0015468D" w:rsidP="006332E1">
      <w:pPr>
        <w:pStyle w:val="Corpotesto"/>
        <w:ind w:right="45"/>
        <w:jc w:val="both"/>
        <w:rPr>
          <w:rFonts w:ascii="Arial" w:hAnsi="Arial" w:cs="Arial"/>
          <w:sz w:val="24"/>
          <w:szCs w:val="24"/>
        </w:rPr>
      </w:pPr>
    </w:p>
    <w:p w14:paraId="1BF82BB8" w14:textId="6DC5BAC9" w:rsidR="00210FC2" w:rsidRDefault="008D59B6" w:rsidP="006801A0">
      <w:pPr>
        <w:pStyle w:val="Titolo1"/>
      </w:pPr>
      <w:bookmarkStart w:id="19" w:name="_Toc74265408"/>
      <w:r>
        <w:t>Conclusioni</w:t>
      </w:r>
      <w:r w:rsidR="009B1DFD">
        <w:t xml:space="preserve">: </w:t>
      </w:r>
      <w:r w:rsidR="006E338B">
        <w:t>quale ruolo delle Regioni nella gestione dei PES?</w:t>
      </w:r>
      <w:bookmarkEnd w:id="19"/>
    </w:p>
    <w:p w14:paraId="1E8568ED" w14:textId="3A438864" w:rsidR="008D59B6" w:rsidRDefault="008D59B6" w:rsidP="006332E1">
      <w:pPr>
        <w:pStyle w:val="Corpotesto"/>
        <w:ind w:right="45"/>
        <w:jc w:val="both"/>
        <w:rPr>
          <w:rFonts w:ascii="Arial" w:hAnsi="Arial" w:cs="Arial"/>
          <w:sz w:val="24"/>
          <w:szCs w:val="24"/>
        </w:rPr>
      </w:pPr>
    </w:p>
    <w:p w14:paraId="4BD43DDE" w14:textId="3B6B1384" w:rsidR="00AA4AFB" w:rsidRDefault="006D47DF" w:rsidP="00033E76">
      <w:pPr>
        <w:pStyle w:val="Corpotesto"/>
        <w:ind w:right="45" w:firstLine="567"/>
        <w:jc w:val="both"/>
        <w:rPr>
          <w:rFonts w:ascii="Arial" w:hAnsi="Arial" w:cs="Arial"/>
          <w:sz w:val="24"/>
          <w:szCs w:val="24"/>
        </w:rPr>
      </w:pPr>
      <w:r>
        <w:rPr>
          <w:rFonts w:ascii="Arial" w:hAnsi="Arial" w:cs="Arial"/>
          <w:sz w:val="24"/>
          <w:szCs w:val="24"/>
        </w:rPr>
        <w:t xml:space="preserve">L’analisi condotta ha mostrato che la fornitura di </w:t>
      </w:r>
      <w:r w:rsidR="009D16BB">
        <w:rPr>
          <w:rFonts w:ascii="Arial" w:hAnsi="Arial" w:cs="Arial"/>
          <w:sz w:val="24"/>
          <w:szCs w:val="24"/>
        </w:rPr>
        <w:t>servizi ES di regolazione attraverso la G</w:t>
      </w:r>
      <w:r w:rsidR="00B94A3E">
        <w:rPr>
          <w:rFonts w:ascii="Arial" w:hAnsi="Arial" w:cs="Arial"/>
          <w:sz w:val="24"/>
          <w:szCs w:val="24"/>
        </w:rPr>
        <w:t>FS rappresenta l’elemento di raccordo tra il sistema forestale</w:t>
      </w:r>
      <w:r w:rsidR="0006098D">
        <w:rPr>
          <w:rFonts w:ascii="Arial" w:hAnsi="Arial" w:cs="Arial"/>
          <w:sz w:val="24"/>
          <w:szCs w:val="24"/>
        </w:rPr>
        <w:t>, l’insieme delle attività LULUCF e l’insieme delle azioni sul clima dell’Unione Europea</w:t>
      </w:r>
      <w:r w:rsidR="007347D0">
        <w:rPr>
          <w:rFonts w:ascii="Arial" w:hAnsi="Arial" w:cs="Arial"/>
          <w:sz w:val="24"/>
          <w:szCs w:val="24"/>
        </w:rPr>
        <w:t xml:space="preserve">, perché ognuna di esse ha come elemento di riferimento le emissioni e gli assorbimenti di </w:t>
      </w:r>
      <w:r w:rsidR="00033E76">
        <w:rPr>
          <w:rFonts w:ascii="Arial" w:hAnsi="Arial" w:cs="Arial"/>
          <w:sz w:val="24"/>
          <w:szCs w:val="24"/>
        </w:rPr>
        <w:t xml:space="preserve">gas GHG. </w:t>
      </w:r>
    </w:p>
    <w:p w14:paraId="15D8705E" w14:textId="2B5B8F94" w:rsidR="006D4B76" w:rsidRDefault="006D4B76" w:rsidP="00033E76">
      <w:pPr>
        <w:pStyle w:val="Corpotesto"/>
        <w:ind w:right="45" w:firstLine="567"/>
        <w:jc w:val="both"/>
        <w:rPr>
          <w:rFonts w:ascii="Arial" w:hAnsi="Arial" w:cs="Arial"/>
          <w:sz w:val="24"/>
          <w:szCs w:val="24"/>
        </w:rPr>
      </w:pPr>
    </w:p>
    <w:p w14:paraId="729FFAE7" w14:textId="6E0E3941" w:rsidR="006D4B76" w:rsidRDefault="006D4B76" w:rsidP="00033E76">
      <w:pPr>
        <w:pStyle w:val="Corpotesto"/>
        <w:ind w:right="45" w:firstLine="567"/>
        <w:jc w:val="both"/>
        <w:rPr>
          <w:rFonts w:ascii="Arial" w:hAnsi="Arial" w:cs="Arial"/>
          <w:sz w:val="24"/>
          <w:szCs w:val="24"/>
        </w:rPr>
      </w:pPr>
    </w:p>
    <w:p w14:paraId="32B7555F" w14:textId="0E40794F" w:rsidR="006D4B76" w:rsidRDefault="006D4B76" w:rsidP="006E7C6F">
      <w:pPr>
        <w:pStyle w:val="Titolo2"/>
      </w:pPr>
      <w:bookmarkStart w:id="20" w:name="_Toc74265409"/>
      <w:r>
        <w:t xml:space="preserve">Importanza del settore forestale nelle </w:t>
      </w:r>
      <w:r w:rsidR="006E7C6F">
        <w:t>politiche sul clima Ue e nazionali</w:t>
      </w:r>
      <w:bookmarkEnd w:id="20"/>
    </w:p>
    <w:p w14:paraId="2B33674A" w14:textId="77777777" w:rsidR="006D4B76" w:rsidRDefault="006D4B76" w:rsidP="00033E76">
      <w:pPr>
        <w:pStyle w:val="Corpotesto"/>
        <w:ind w:right="45" w:firstLine="567"/>
        <w:jc w:val="both"/>
        <w:rPr>
          <w:rFonts w:ascii="Arial" w:hAnsi="Arial" w:cs="Arial"/>
          <w:sz w:val="24"/>
          <w:szCs w:val="24"/>
        </w:rPr>
      </w:pPr>
    </w:p>
    <w:p w14:paraId="2E4E1112" w14:textId="4D98E41C" w:rsidR="00033E76" w:rsidRDefault="00033E76" w:rsidP="00033E76">
      <w:pPr>
        <w:pStyle w:val="Corpotesto"/>
        <w:ind w:right="45" w:firstLine="567"/>
        <w:jc w:val="both"/>
        <w:rPr>
          <w:rFonts w:ascii="Arial" w:hAnsi="Arial" w:cs="Arial"/>
          <w:sz w:val="24"/>
          <w:szCs w:val="24"/>
        </w:rPr>
      </w:pPr>
      <w:r>
        <w:rPr>
          <w:rFonts w:ascii="Arial" w:hAnsi="Arial" w:cs="Arial"/>
          <w:sz w:val="24"/>
          <w:szCs w:val="24"/>
        </w:rPr>
        <w:t xml:space="preserve">Il settore </w:t>
      </w:r>
      <w:r w:rsidR="0001777B">
        <w:rPr>
          <w:rFonts w:ascii="Arial" w:hAnsi="Arial" w:cs="Arial"/>
          <w:sz w:val="24"/>
          <w:szCs w:val="24"/>
        </w:rPr>
        <w:t>forestale</w:t>
      </w:r>
      <w:r>
        <w:rPr>
          <w:rFonts w:ascii="Arial" w:hAnsi="Arial" w:cs="Arial"/>
          <w:sz w:val="24"/>
          <w:szCs w:val="24"/>
        </w:rPr>
        <w:t xml:space="preserve"> è diventato un</w:t>
      </w:r>
      <w:r w:rsidR="004E78E7">
        <w:rPr>
          <w:rFonts w:ascii="Arial" w:hAnsi="Arial" w:cs="Arial"/>
          <w:sz w:val="24"/>
          <w:szCs w:val="24"/>
        </w:rPr>
        <w:t>a componente primaria della strategia sul clima dell’Unione, in quanto:</w:t>
      </w:r>
    </w:p>
    <w:p w14:paraId="1D111452" w14:textId="33454D2E" w:rsidR="004E78E7" w:rsidRDefault="004E78E7" w:rsidP="00033E76">
      <w:pPr>
        <w:pStyle w:val="Corpotesto"/>
        <w:ind w:right="45" w:firstLine="567"/>
        <w:jc w:val="both"/>
        <w:rPr>
          <w:rFonts w:ascii="Arial" w:hAnsi="Arial" w:cs="Arial"/>
          <w:sz w:val="24"/>
          <w:szCs w:val="24"/>
        </w:rPr>
      </w:pPr>
    </w:p>
    <w:p w14:paraId="04AEAAD1" w14:textId="5A9659EF" w:rsidR="004E78E7" w:rsidRDefault="0001777B" w:rsidP="00076117">
      <w:pPr>
        <w:pStyle w:val="Corpotesto"/>
        <w:numPr>
          <w:ilvl w:val="0"/>
          <w:numId w:val="40"/>
        </w:numPr>
        <w:ind w:right="45"/>
        <w:jc w:val="both"/>
        <w:rPr>
          <w:rFonts w:ascii="Arial" w:hAnsi="Arial" w:cs="Arial"/>
          <w:sz w:val="24"/>
          <w:szCs w:val="24"/>
        </w:rPr>
      </w:pPr>
      <w:r>
        <w:rPr>
          <w:rFonts w:ascii="Arial" w:hAnsi="Arial" w:cs="Arial"/>
          <w:sz w:val="24"/>
          <w:szCs w:val="24"/>
        </w:rPr>
        <w:t>è un elemento centra</w:t>
      </w:r>
      <w:r w:rsidR="00BD2752">
        <w:rPr>
          <w:rFonts w:ascii="Arial" w:hAnsi="Arial" w:cs="Arial"/>
          <w:sz w:val="24"/>
          <w:szCs w:val="24"/>
        </w:rPr>
        <w:t>le del meccanismo di flessibilità dell’intero settore LULUCF</w:t>
      </w:r>
      <w:r w:rsidR="00D06114">
        <w:rPr>
          <w:rFonts w:ascii="Arial" w:hAnsi="Arial" w:cs="Arial"/>
          <w:sz w:val="24"/>
          <w:szCs w:val="24"/>
        </w:rPr>
        <w:t xml:space="preserve"> stabiliti nel Regolamento 2018/841;</w:t>
      </w:r>
    </w:p>
    <w:p w14:paraId="6D0C6BFD" w14:textId="445DC1F4" w:rsidR="00BE55CD" w:rsidRDefault="00B332AF" w:rsidP="00076117">
      <w:pPr>
        <w:pStyle w:val="Corpotesto"/>
        <w:numPr>
          <w:ilvl w:val="0"/>
          <w:numId w:val="40"/>
        </w:numPr>
        <w:ind w:right="45"/>
        <w:jc w:val="both"/>
        <w:rPr>
          <w:rFonts w:ascii="Arial" w:hAnsi="Arial" w:cs="Arial"/>
          <w:sz w:val="24"/>
          <w:szCs w:val="24"/>
        </w:rPr>
      </w:pPr>
      <w:r>
        <w:rPr>
          <w:rFonts w:ascii="Arial" w:hAnsi="Arial" w:cs="Arial"/>
          <w:sz w:val="24"/>
          <w:szCs w:val="24"/>
        </w:rPr>
        <w:t xml:space="preserve">è parte del meccanismo di flessibilità </w:t>
      </w:r>
      <w:r w:rsidR="0088697A">
        <w:rPr>
          <w:rFonts w:ascii="Arial" w:hAnsi="Arial" w:cs="Arial"/>
          <w:sz w:val="24"/>
          <w:szCs w:val="24"/>
        </w:rPr>
        <w:t xml:space="preserve">del settore LULUCF previsto per gli SM </w:t>
      </w:r>
      <w:r w:rsidR="0088697A">
        <w:rPr>
          <w:rFonts w:ascii="Arial" w:hAnsi="Arial" w:cs="Arial"/>
          <w:sz w:val="24"/>
          <w:szCs w:val="24"/>
        </w:rPr>
        <w:lastRenderedPageBreak/>
        <w:t xml:space="preserve">nel valutare la compliance con </w:t>
      </w:r>
      <w:r w:rsidR="006613FC">
        <w:rPr>
          <w:rFonts w:ascii="Arial" w:hAnsi="Arial" w:cs="Arial"/>
          <w:sz w:val="24"/>
          <w:szCs w:val="24"/>
        </w:rPr>
        <w:t xml:space="preserve">il meccanismo ESR stabilito </w:t>
      </w:r>
      <w:r w:rsidR="00555607">
        <w:rPr>
          <w:rFonts w:ascii="Arial" w:hAnsi="Arial" w:cs="Arial"/>
          <w:sz w:val="24"/>
          <w:szCs w:val="24"/>
        </w:rPr>
        <w:t>nel Regolamento 2018/842</w:t>
      </w:r>
      <w:r w:rsidR="00BE55CD">
        <w:rPr>
          <w:rFonts w:ascii="Arial" w:hAnsi="Arial" w:cs="Arial"/>
          <w:sz w:val="24"/>
          <w:szCs w:val="24"/>
        </w:rPr>
        <w:t xml:space="preserve">. </w:t>
      </w:r>
    </w:p>
    <w:p w14:paraId="5BE67785" w14:textId="33841DE8" w:rsidR="00BE55CD" w:rsidRDefault="00BE55CD" w:rsidP="00BE55CD">
      <w:pPr>
        <w:pStyle w:val="Corpotesto"/>
        <w:ind w:right="45" w:firstLine="567"/>
        <w:jc w:val="both"/>
        <w:rPr>
          <w:rFonts w:ascii="Arial" w:hAnsi="Arial" w:cs="Arial"/>
          <w:sz w:val="24"/>
          <w:szCs w:val="24"/>
        </w:rPr>
      </w:pPr>
    </w:p>
    <w:p w14:paraId="6E7C1908" w14:textId="4149330E" w:rsidR="00BE55CD" w:rsidRDefault="00BE55CD" w:rsidP="00BE55CD">
      <w:pPr>
        <w:pStyle w:val="Corpotesto"/>
        <w:ind w:right="45" w:firstLine="567"/>
        <w:jc w:val="both"/>
        <w:rPr>
          <w:rFonts w:ascii="Arial" w:hAnsi="Arial" w:cs="Arial"/>
          <w:sz w:val="24"/>
          <w:szCs w:val="24"/>
        </w:rPr>
      </w:pPr>
      <w:r>
        <w:rPr>
          <w:rFonts w:ascii="Arial" w:hAnsi="Arial" w:cs="Arial"/>
          <w:sz w:val="24"/>
          <w:szCs w:val="24"/>
        </w:rPr>
        <w:t>Come tale è quindi inserito anche nel PNIEC e</w:t>
      </w:r>
      <w:r w:rsidR="007D1F46">
        <w:rPr>
          <w:rFonts w:ascii="Arial" w:hAnsi="Arial" w:cs="Arial"/>
          <w:sz w:val="24"/>
          <w:szCs w:val="24"/>
        </w:rPr>
        <w:t>, quindi,</w:t>
      </w:r>
      <w:r>
        <w:rPr>
          <w:rFonts w:ascii="Arial" w:hAnsi="Arial" w:cs="Arial"/>
          <w:sz w:val="24"/>
          <w:szCs w:val="24"/>
        </w:rPr>
        <w:t xml:space="preserve"> nell’inventario dei gas GHG </w:t>
      </w:r>
      <w:r w:rsidR="00ED2F5D">
        <w:rPr>
          <w:rFonts w:ascii="Arial" w:hAnsi="Arial" w:cs="Arial"/>
          <w:sz w:val="24"/>
          <w:szCs w:val="24"/>
        </w:rPr>
        <w:t xml:space="preserve">predisposto periodicamente dall’ISPRA. </w:t>
      </w:r>
    </w:p>
    <w:p w14:paraId="10EB229E" w14:textId="2EB54E2A" w:rsidR="00145DC7" w:rsidRDefault="00145DC7" w:rsidP="00BE55CD">
      <w:pPr>
        <w:pStyle w:val="Corpotesto"/>
        <w:ind w:right="45" w:firstLine="567"/>
        <w:jc w:val="both"/>
        <w:rPr>
          <w:rFonts w:ascii="Arial" w:hAnsi="Arial" w:cs="Arial"/>
          <w:sz w:val="24"/>
          <w:szCs w:val="24"/>
        </w:rPr>
      </w:pPr>
      <w:r>
        <w:rPr>
          <w:rFonts w:ascii="Arial" w:hAnsi="Arial" w:cs="Arial"/>
          <w:sz w:val="24"/>
          <w:szCs w:val="24"/>
        </w:rPr>
        <w:t xml:space="preserve">L’emissione di crediti ecosistemici corrisponde pienamente </w:t>
      </w:r>
      <w:r w:rsidR="00D44336">
        <w:rPr>
          <w:rFonts w:ascii="Arial" w:hAnsi="Arial" w:cs="Arial"/>
          <w:sz w:val="24"/>
          <w:szCs w:val="24"/>
        </w:rPr>
        <w:t>a quanto stabilito nel Collegato Ambientale</w:t>
      </w:r>
      <w:r w:rsidR="00E075F4">
        <w:rPr>
          <w:rFonts w:ascii="Arial" w:hAnsi="Arial" w:cs="Arial"/>
          <w:sz w:val="24"/>
          <w:szCs w:val="24"/>
        </w:rPr>
        <w:t>, nel</w:t>
      </w:r>
      <w:r w:rsidR="006224FC">
        <w:rPr>
          <w:rFonts w:ascii="Arial" w:hAnsi="Arial" w:cs="Arial"/>
          <w:sz w:val="24"/>
          <w:szCs w:val="24"/>
        </w:rPr>
        <w:t xml:space="preserve"> Testo Unico delle Foreste e delle Filiere Forestali</w:t>
      </w:r>
      <w:r w:rsidR="004C4973">
        <w:rPr>
          <w:rFonts w:ascii="Arial" w:hAnsi="Arial" w:cs="Arial"/>
          <w:sz w:val="24"/>
          <w:szCs w:val="24"/>
        </w:rPr>
        <w:t xml:space="preserve"> (</w:t>
      </w:r>
      <w:r w:rsidR="00E075F4">
        <w:rPr>
          <w:rFonts w:ascii="Arial" w:hAnsi="Arial" w:cs="Arial"/>
          <w:sz w:val="24"/>
          <w:szCs w:val="24"/>
        </w:rPr>
        <w:t>L. 34/ 2018</w:t>
      </w:r>
      <w:r w:rsidR="004C4973">
        <w:rPr>
          <w:rFonts w:ascii="Arial" w:hAnsi="Arial" w:cs="Arial"/>
          <w:sz w:val="24"/>
          <w:szCs w:val="24"/>
        </w:rPr>
        <w:t xml:space="preserve">) nonché nella descrizione preliminare della nuova Strategia Forestale Nazionale ed Europea. </w:t>
      </w:r>
    </w:p>
    <w:p w14:paraId="5A9B83BB" w14:textId="6F3090A6" w:rsidR="00805420" w:rsidRDefault="00B64238" w:rsidP="00BE55CD">
      <w:pPr>
        <w:pStyle w:val="Corpotesto"/>
        <w:ind w:right="45" w:firstLine="567"/>
        <w:jc w:val="both"/>
        <w:rPr>
          <w:rFonts w:ascii="Arial" w:hAnsi="Arial" w:cs="Arial"/>
          <w:sz w:val="24"/>
          <w:szCs w:val="24"/>
        </w:rPr>
      </w:pPr>
      <w:r>
        <w:rPr>
          <w:rFonts w:ascii="Arial" w:hAnsi="Arial" w:cs="Arial"/>
          <w:sz w:val="24"/>
          <w:szCs w:val="24"/>
        </w:rPr>
        <w:t xml:space="preserve">La struttura di questi crediti, incentrata sulla </w:t>
      </w:r>
      <w:r w:rsidR="00AF75FA">
        <w:rPr>
          <w:rFonts w:ascii="Arial" w:hAnsi="Arial" w:cs="Arial"/>
          <w:sz w:val="24"/>
          <w:szCs w:val="24"/>
        </w:rPr>
        <w:t>t</w:t>
      </w:r>
      <w:r>
        <w:rPr>
          <w:rFonts w:ascii="Arial" w:hAnsi="Arial" w:cs="Arial"/>
          <w:sz w:val="24"/>
          <w:szCs w:val="24"/>
        </w:rPr>
        <w:t>onnellata di CO</w:t>
      </w:r>
      <w:r w:rsidRPr="00423453">
        <w:rPr>
          <w:rFonts w:ascii="Arial" w:hAnsi="Arial" w:cs="Arial"/>
          <w:sz w:val="24"/>
          <w:szCs w:val="24"/>
          <w:vertAlign w:val="subscript"/>
        </w:rPr>
        <w:t>2</w:t>
      </w:r>
      <w:r>
        <w:rPr>
          <w:rFonts w:ascii="Arial" w:hAnsi="Arial" w:cs="Arial"/>
          <w:sz w:val="24"/>
          <w:szCs w:val="24"/>
        </w:rPr>
        <w:t xml:space="preserve"> </w:t>
      </w:r>
      <w:proofErr w:type="spellStart"/>
      <w:r>
        <w:rPr>
          <w:rFonts w:ascii="Arial" w:hAnsi="Arial" w:cs="Arial"/>
          <w:sz w:val="24"/>
          <w:szCs w:val="24"/>
        </w:rPr>
        <w:t>eq</w:t>
      </w:r>
      <w:proofErr w:type="spellEnd"/>
      <w:r>
        <w:rPr>
          <w:rFonts w:ascii="Arial" w:hAnsi="Arial" w:cs="Arial"/>
          <w:sz w:val="24"/>
          <w:szCs w:val="24"/>
        </w:rPr>
        <w:t xml:space="preserve">, </w:t>
      </w:r>
      <w:r w:rsidR="00E62FD4">
        <w:rPr>
          <w:rFonts w:ascii="Arial" w:hAnsi="Arial" w:cs="Arial"/>
          <w:sz w:val="24"/>
          <w:szCs w:val="24"/>
        </w:rPr>
        <w:t xml:space="preserve">la rende assimilabile, almeno dal punto di vista dell’unità di misura, alle EUA e quindi </w:t>
      </w:r>
      <w:r w:rsidR="008160E4">
        <w:rPr>
          <w:rFonts w:ascii="Arial" w:hAnsi="Arial" w:cs="Arial"/>
          <w:sz w:val="24"/>
          <w:szCs w:val="24"/>
        </w:rPr>
        <w:t xml:space="preserve">è lecito prendere il prezzo delle EUA del mercato EU ETS come punto di riferimento per </w:t>
      </w:r>
      <w:r w:rsidR="00E73C2D">
        <w:rPr>
          <w:rFonts w:ascii="Arial" w:hAnsi="Arial" w:cs="Arial"/>
          <w:sz w:val="24"/>
          <w:szCs w:val="24"/>
        </w:rPr>
        <w:t>il valore dei crediti, sebbene non siano oggi compatibili con questo mercato</w:t>
      </w:r>
      <w:r w:rsidR="00634157">
        <w:rPr>
          <w:rFonts w:ascii="Arial" w:hAnsi="Arial" w:cs="Arial"/>
          <w:sz w:val="24"/>
          <w:szCs w:val="24"/>
        </w:rPr>
        <w:t xml:space="preserve">, in quanto il settore è esplicitamente escluso dal mercato ETS obbligatorio. </w:t>
      </w:r>
    </w:p>
    <w:p w14:paraId="7C8473AD" w14:textId="33B3CF03" w:rsidR="00B64238" w:rsidRDefault="009B1DE0" w:rsidP="00BE55CD">
      <w:pPr>
        <w:pStyle w:val="Corpotesto"/>
        <w:ind w:right="45" w:firstLine="567"/>
        <w:jc w:val="both"/>
        <w:rPr>
          <w:rFonts w:ascii="Arial" w:hAnsi="Arial" w:cs="Arial"/>
          <w:sz w:val="24"/>
          <w:szCs w:val="24"/>
        </w:rPr>
      </w:pPr>
      <w:r>
        <w:rPr>
          <w:rFonts w:ascii="Arial" w:hAnsi="Arial" w:cs="Arial"/>
          <w:sz w:val="24"/>
          <w:szCs w:val="24"/>
        </w:rPr>
        <w:t>Tuttavia, per rendere anche metodologicamente confrontabile un Credito Ecosistemico con una EUA, a prescindere dal</w:t>
      </w:r>
      <w:r w:rsidR="00D324E7">
        <w:rPr>
          <w:rFonts w:ascii="Arial" w:hAnsi="Arial" w:cs="Arial"/>
          <w:sz w:val="24"/>
          <w:szCs w:val="24"/>
        </w:rPr>
        <w:t xml:space="preserve"> differente impianto normativo e dalla governance che hanno, è necessario avere </w:t>
      </w:r>
      <w:r w:rsidR="00AB740D">
        <w:rPr>
          <w:rFonts w:ascii="Arial" w:hAnsi="Arial" w:cs="Arial"/>
          <w:sz w:val="24"/>
          <w:szCs w:val="24"/>
        </w:rPr>
        <w:t>delle procedure di emissione affidabili e credibili</w:t>
      </w:r>
      <w:r w:rsidR="00EC195E">
        <w:rPr>
          <w:rFonts w:ascii="Arial" w:hAnsi="Arial" w:cs="Arial"/>
          <w:sz w:val="24"/>
          <w:szCs w:val="24"/>
        </w:rPr>
        <w:t xml:space="preserve">, nelle quali </w:t>
      </w:r>
      <w:r w:rsidR="00D76BA3">
        <w:rPr>
          <w:rFonts w:ascii="Arial" w:hAnsi="Arial" w:cs="Arial"/>
          <w:sz w:val="24"/>
          <w:szCs w:val="24"/>
        </w:rPr>
        <w:t>la</w:t>
      </w:r>
      <w:r w:rsidR="00EC195E">
        <w:rPr>
          <w:rFonts w:ascii="Arial" w:hAnsi="Arial" w:cs="Arial"/>
          <w:sz w:val="24"/>
          <w:szCs w:val="24"/>
        </w:rPr>
        <w:t xml:space="preserve"> GFS fornisca con certezza il risultat</w:t>
      </w:r>
      <w:r w:rsidR="00A26235">
        <w:rPr>
          <w:rFonts w:ascii="Arial" w:hAnsi="Arial" w:cs="Arial"/>
          <w:sz w:val="24"/>
          <w:szCs w:val="24"/>
        </w:rPr>
        <w:t>o</w:t>
      </w:r>
      <w:r w:rsidR="00EC195E">
        <w:rPr>
          <w:rFonts w:ascii="Arial" w:hAnsi="Arial" w:cs="Arial"/>
          <w:sz w:val="24"/>
          <w:szCs w:val="24"/>
        </w:rPr>
        <w:t xml:space="preserve"> sugli assorbimenti netti garantiti a livello previsionale</w:t>
      </w:r>
      <w:r w:rsidR="00A26235">
        <w:rPr>
          <w:rFonts w:ascii="Arial" w:hAnsi="Arial" w:cs="Arial"/>
          <w:sz w:val="24"/>
          <w:szCs w:val="24"/>
        </w:rPr>
        <w:t xml:space="preserve">, tenendo conto che sono implicati tempi molto lunghi. </w:t>
      </w:r>
      <w:r w:rsidR="00805420">
        <w:rPr>
          <w:rFonts w:ascii="Arial" w:hAnsi="Arial" w:cs="Arial"/>
          <w:sz w:val="24"/>
          <w:szCs w:val="24"/>
        </w:rPr>
        <w:t>Per ot</w:t>
      </w:r>
      <w:r w:rsidR="00AA6787">
        <w:rPr>
          <w:rFonts w:ascii="Arial" w:hAnsi="Arial" w:cs="Arial"/>
          <w:sz w:val="24"/>
          <w:szCs w:val="24"/>
        </w:rPr>
        <w:t xml:space="preserve">tenere questo risultato è necessario seguire questi criteri nelle attività </w:t>
      </w:r>
      <w:r w:rsidR="002A60CF">
        <w:rPr>
          <w:rFonts w:ascii="Arial" w:hAnsi="Arial" w:cs="Arial"/>
          <w:sz w:val="24"/>
          <w:szCs w:val="24"/>
        </w:rPr>
        <w:t>di rilascio dei crediti di sostenibilità del Progetto LIFE CO2PES&amp;PEF:</w:t>
      </w:r>
    </w:p>
    <w:p w14:paraId="0E2E83E3" w14:textId="298665DF" w:rsidR="002A60CF" w:rsidRDefault="002A60CF" w:rsidP="0062583E">
      <w:pPr>
        <w:pStyle w:val="Corpotesto"/>
        <w:ind w:right="45" w:firstLine="567"/>
        <w:jc w:val="both"/>
        <w:rPr>
          <w:rFonts w:ascii="Arial" w:hAnsi="Arial" w:cs="Arial"/>
          <w:sz w:val="24"/>
          <w:szCs w:val="24"/>
        </w:rPr>
      </w:pPr>
    </w:p>
    <w:p w14:paraId="23FEDDA7" w14:textId="1BE3E793" w:rsidR="002A60CF" w:rsidRDefault="002A60CF" w:rsidP="00076117">
      <w:pPr>
        <w:pStyle w:val="Corpotesto"/>
        <w:numPr>
          <w:ilvl w:val="0"/>
          <w:numId w:val="41"/>
        </w:numPr>
        <w:ind w:right="45"/>
        <w:jc w:val="both"/>
        <w:rPr>
          <w:rFonts w:ascii="Arial" w:hAnsi="Arial" w:cs="Arial"/>
          <w:sz w:val="24"/>
          <w:szCs w:val="24"/>
        </w:rPr>
      </w:pPr>
      <w:r>
        <w:rPr>
          <w:rFonts w:ascii="Arial" w:hAnsi="Arial" w:cs="Arial"/>
          <w:sz w:val="24"/>
          <w:szCs w:val="24"/>
        </w:rPr>
        <w:t>utilizzare le procedure del CDM</w:t>
      </w:r>
      <w:r w:rsidR="00574533">
        <w:rPr>
          <w:rFonts w:ascii="Arial" w:hAnsi="Arial" w:cs="Arial"/>
          <w:sz w:val="24"/>
          <w:szCs w:val="24"/>
        </w:rPr>
        <w:t>, che possono rendere co</w:t>
      </w:r>
      <w:r w:rsidR="005C40A4">
        <w:rPr>
          <w:rFonts w:ascii="Arial" w:hAnsi="Arial" w:cs="Arial"/>
          <w:sz w:val="24"/>
          <w:szCs w:val="24"/>
        </w:rPr>
        <w:t xml:space="preserve">nfrontabili, almeno sotto il profilo metodologico, i crediti ecosistemici con quelli rilasciati sui mercati ETS </w:t>
      </w:r>
      <w:r w:rsidR="004D1A26">
        <w:rPr>
          <w:rFonts w:ascii="Arial" w:hAnsi="Arial" w:cs="Arial"/>
          <w:sz w:val="24"/>
          <w:szCs w:val="24"/>
        </w:rPr>
        <w:t>(sia EU che non EU)</w:t>
      </w:r>
      <w:r w:rsidR="009F3A7C">
        <w:rPr>
          <w:rFonts w:ascii="Arial" w:hAnsi="Arial" w:cs="Arial"/>
          <w:sz w:val="24"/>
          <w:szCs w:val="24"/>
        </w:rPr>
        <w:t xml:space="preserve"> ma anche con quelli rilasciati da schemi volontari come il Gold Standard, VCS-</w:t>
      </w:r>
      <w:proofErr w:type="spellStart"/>
      <w:r w:rsidR="009F3A7C">
        <w:rPr>
          <w:rFonts w:ascii="Arial" w:hAnsi="Arial" w:cs="Arial"/>
          <w:sz w:val="24"/>
          <w:szCs w:val="24"/>
        </w:rPr>
        <w:t>Verra</w:t>
      </w:r>
      <w:proofErr w:type="spellEnd"/>
      <w:r w:rsidR="009F3A7C">
        <w:rPr>
          <w:rFonts w:ascii="Arial" w:hAnsi="Arial" w:cs="Arial"/>
          <w:sz w:val="24"/>
          <w:szCs w:val="24"/>
        </w:rPr>
        <w:t xml:space="preserve">, </w:t>
      </w:r>
      <w:proofErr w:type="spellStart"/>
      <w:r w:rsidR="009F3A7C">
        <w:rPr>
          <w:rFonts w:ascii="Arial" w:hAnsi="Arial" w:cs="Arial"/>
          <w:sz w:val="24"/>
          <w:szCs w:val="24"/>
        </w:rPr>
        <w:t>Planvivo</w:t>
      </w:r>
      <w:proofErr w:type="spellEnd"/>
      <w:r w:rsidR="009F3A7C">
        <w:rPr>
          <w:rFonts w:ascii="Arial" w:hAnsi="Arial" w:cs="Arial"/>
          <w:sz w:val="24"/>
          <w:szCs w:val="24"/>
        </w:rPr>
        <w:t>, etc.</w:t>
      </w:r>
      <w:r w:rsidR="001A366A">
        <w:rPr>
          <w:rFonts w:ascii="Arial" w:hAnsi="Arial" w:cs="Arial"/>
          <w:sz w:val="24"/>
          <w:szCs w:val="24"/>
        </w:rPr>
        <w:t>;</w:t>
      </w:r>
    </w:p>
    <w:p w14:paraId="31D7E5F1" w14:textId="64970F47" w:rsidR="00A60C26" w:rsidRDefault="001A366A" w:rsidP="00076117">
      <w:pPr>
        <w:pStyle w:val="Corpotesto"/>
        <w:numPr>
          <w:ilvl w:val="0"/>
          <w:numId w:val="41"/>
        </w:numPr>
        <w:ind w:right="45"/>
        <w:jc w:val="both"/>
        <w:rPr>
          <w:rFonts w:ascii="Arial" w:hAnsi="Arial" w:cs="Arial"/>
          <w:sz w:val="24"/>
          <w:szCs w:val="24"/>
        </w:rPr>
      </w:pPr>
      <w:r>
        <w:rPr>
          <w:rFonts w:ascii="Arial" w:hAnsi="Arial" w:cs="Arial"/>
          <w:sz w:val="24"/>
          <w:szCs w:val="24"/>
        </w:rPr>
        <w:t>adottare, come è stato fatto nell’azione C1, dei criteri di misurazione dello stock di car</w:t>
      </w:r>
      <w:r w:rsidR="00B3374D">
        <w:rPr>
          <w:rFonts w:ascii="Arial" w:hAnsi="Arial" w:cs="Arial"/>
          <w:sz w:val="24"/>
          <w:szCs w:val="24"/>
        </w:rPr>
        <w:t xml:space="preserve">bonio e dei disturbi naturali che siano </w:t>
      </w:r>
      <w:r w:rsidR="009B1FBB">
        <w:rPr>
          <w:rFonts w:ascii="Arial" w:hAnsi="Arial" w:cs="Arial"/>
          <w:sz w:val="24"/>
          <w:szCs w:val="24"/>
        </w:rPr>
        <w:t>in linea con le direttive IPCC</w:t>
      </w:r>
      <w:r w:rsidR="00B319D5">
        <w:rPr>
          <w:rFonts w:ascii="Arial" w:hAnsi="Arial" w:cs="Arial"/>
          <w:sz w:val="24"/>
          <w:szCs w:val="24"/>
        </w:rPr>
        <w:t xml:space="preserve"> e, in Italia, il </w:t>
      </w:r>
      <w:r w:rsidR="00073ABB">
        <w:rPr>
          <w:rFonts w:ascii="Arial" w:hAnsi="Arial" w:cs="Arial"/>
          <w:sz w:val="24"/>
          <w:szCs w:val="24"/>
        </w:rPr>
        <w:t>Nucleo di Monitoraggio del Carbonio</w:t>
      </w:r>
      <w:r w:rsidR="00A60C26">
        <w:rPr>
          <w:rFonts w:ascii="Arial" w:hAnsi="Arial" w:cs="Arial"/>
          <w:sz w:val="24"/>
          <w:szCs w:val="24"/>
        </w:rPr>
        <w:t>;</w:t>
      </w:r>
    </w:p>
    <w:p w14:paraId="22B74B32" w14:textId="77777777" w:rsidR="00B633A6" w:rsidRDefault="0043245C" w:rsidP="00076117">
      <w:pPr>
        <w:pStyle w:val="Corpotesto"/>
        <w:numPr>
          <w:ilvl w:val="0"/>
          <w:numId w:val="41"/>
        </w:numPr>
        <w:ind w:right="45"/>
        <w:jc w:val="both"/>
        <w:rPr>
          <w:rFonts w:ascii="Arial" w:hAnsi="Arial" w:cs="Arial"/>
          <w:sz w:val="24"/>
          <w:szCs w:val="24"/>
        </w:rPr>
      </w:pPr>
      <w:r>
        <w:rPr>
          <w:rFonts w:ascii="Arial" w:hAnsi="Arial" w:cs="Arial"/>
          <w:sz w:val="24"/>
          <w:szCs w:val="24"/>
        </w:rPr>
        <w:t xml:space="preserve">definire dei criteri di pagamento dei crediti che siano allineati con i Piani Forestali Regionali, </w:t>
      </w:r>
      <w:r w:rsidR="00B633A6">
        <w:rPr>
          <w:rFonts w:ascii="Arial" w:hAnsi="Arial" w:cs="Arial"/>
          <w:sz w:val="24"/>
          <w:szCs w:val="24"/>
        </w:rPr>
        <w:t>in quanto il TUFF demanda alle Regioni la competenza per questa attività.</w:t>
      </w:r>
    </w:p>
    <w:p w14:paraId="7AF8AA83" w14:textId="77777777" w:rsidR="00B633A6" w:rsidRDefault="00B633A6" w:rsidP="00BE55CD">
      <w:pPr>
        <w:pStyle w:val="Corpotesto"/>
        <w:ind w:right="45" w:firstLine="567"/>
        <w:jc w:val="both"/>
        <w:rPr>
          <w:rFonts w:ascii="Arial" w:hAnsi="Arial" w:cs="Arial"/>
          <w:sz w:val="24"/>
          <w:szCs w:val="24"/>
        </w:rPr>
      </w:pPr>
    </w:p>
    <w:p w14:paraId="4193FB4D" w14:textId="5F6F38BA" w:rsidR="00C301E8" w:rsidRDefault="00C301E8" w:rsidP="00BE55CD">
      <w:pPr>
        <w:pStyle w:val="Corpotesto"/>
        <w:ind w:right="45" w:firstLine="567"/>
        <w:jc w:val="both"/>
        <w:rPr>
          <w:rFonts w:ascii="Arial" w:hAnsi="Arial" w:cs="Arial"/>
          <w:sz w:val="24"/>
          <w:szCs w:val="24"/>
        </w:rPr>
      </w:pPr>
      <w:r>
        <w:rPr>
          <w:rFonts w:ascii="Arial" w:hAnsi="Arial" w:cs="Arial"/>
          <w:sz w:val="24"/>
          <w:szCs w:val="24"/>
        </w:rPr>
        <w:t>Sotto questo profil</w:t>
      </w:r>
      <w:r w:rsidR="005C1E64">
        <w:rPr>
          <w:rFonts w:ascii="Arial" w:hAnsi="Arial" w:cs="Arial"/>
          <w:sz w:val="24"/>
          <w:szCs w:val="24"/>
        </w:rPr>
        <w:t>o</w:t>
      </w:r>
      <w:r>
        <w:rPr>
          <w:rFonts w:ascii="Arial" w:hAnsi="Arial" w:cs="Arial"/>
          <w:sz w:val="24"/>
          <w:szCs w:val="24"/>
        </w:rPr>
        <w:t xml:space="preserve"> è particolarmente innovativa </w:t>
      </w:r>
      <w:r w:rsidR="005C1E64">
        <w:rPr>
          <w:rFonts w:ascii="Arial" w:hAnsi="Arial" w:cs="Arial"/>
          <w:sz w:val="24"/>
          <w:szCs w:val="24"/>
        </w:rPr>
        <w:t xml:space="preserve">l’azione intrapresa dalle due Regione partner del progetto, che hanno emesso </w:t>
      </w:r>
      <w:r w:rsidR="001B1738">
        <w:rPr>
          <w:rFonts w:ascii="Arial" w:hAnsi="Arial" w:cs="Arial"/>
          <w:sz w:val="24"/>
          <w:szCs w:val="24"/>
        </w:rPr>
        <w:t>normative di supporto alla GFS e al pagamento dei SE</w:t>
      </w:r>
      <w:r w:rsidR="007F2232">
        <w:rPr>
          <w:rFonts w:ascii="Arial" w:hAnsi="Arial" w:cs="Arial"/>
          <w:sz w:val="24"/>
          <w:szCs w:val="24"/>
        </w:rPr>
        <w:t xml:space="preserve"> in tempi recenti. Il Progetto si propone di rafforzare queste policy sia dal punto di vista metodologico sia </w:t>
      </w:r>
      <w:r w:rsidR="00383C03">
        <w:rPr>
          <w:rFonts w:ascii="Arial" w:hAnsi="Arial" w:cs="Arial"/>
          <w:sz w:val="24"/>
          <w:szCs w:val="24"/>
        </w:rPr>
        <w:t xml:space="preserve">da quello tecnico sia da quello della governance. </w:t>
      </w:r>
    </w:p>
    <w:p w14:paraId="706BA196" w14:textId="77777777" w:rsidR="00BD56C2" w:rsidRDefault="00BD56C2" w:rsidP="00BE55CD">
      <w:pPr>
        <w:pStyle w:val="Corpotesto"/>
        <w:ind w:right="45" w:firstLine="567"/>
        <w:jc w:val="both"/>
        <w:rPr>
          <w:rFonts w:ascii="Arial" w:hAnsi="Arial" w:cs="Arial"/>
          <w:sz w:val="24"/>
          <w:szCs w:val="24"/>
        </w:rPr>
      </w:pPr>
    </w:p>
    <w:p w14:paraId="1015CC6C" w14:textId="77777777" w:rsidR="00BD56C2" w:rsidRDefault="00BD56C2" w:rsidP="00BE55CD">
      <w:pPr>
        <w:pStyle w:val="Corpotesto"/>
        <w:ind w:right="45" w:firstLine="567"/>
        <w:jc w:val="both"/>
        <w:rPr>
          <w:rFonts w:ascii="Arial" w:hAnsi="Arial" w:cs="Arial"/>
          <w:sz w:val="24"/>
          <w:szCs w:val="24"/>
        </w:rPr>
      </w:pPr>
    </w:p>
    <w:p w14:paraId="022110F5" w14:textId="74AABD27" w:rsidR="00BD56C2" w:rsidRDefault="006E7C6F" w:rsidP="005C16C5">
      <w:pPr>
        <w:pStyle w:val="Titolo2"/>
      </w:pPr>
      <w:bookmarkStart w:id="21" w:name="_Toc74265410"/>
      <w:r>
        <w:t xml:space="preserve">Le Regioni come </w:t>
      </w:r>
      <w:r w:rsidR="005C16C5">
        <w:t>proponenti di un sistema di PES</w:t>
      </w:r>
      <w:bookmarkEnd w:id="21"/>
    </w:p>
    <w:p w14:paraId="5574DF4A" w14:textId="11BD9C8E" w:rsidR="00BD56C2" w:rsidRDefault="00BD56C2" w:rsidP="00BE55CD">
      <w:pPr>
        <w:pStyle w:val="Corpotesto"/>
        <w:ind w:right="45" w:firstLine="567"/>
        <w:jc w:val="both"/>
        <w:rPr>
          <w:rFonts w:ascii="Arial" w:hAnsi="Arial" w:cs="Arial"/>
          <w:sz w:val="24"/>
          <w:szCs w:val="24"/>
        </w:rPr>
      </w:pPr>
    </w:p>
    <w:p w14:paraId="322BA4F7" w14:textId="352A1263" w:rsidR="005C16C5" w:rsidRDefault="00EC02F7" w:rsidP="00BE55CD">
      <w:pPr>
        <w:pStyle w:val="Corpotesto"/>
        <w:ind w:right="45" w:firstLine="567"/>
        <w:jc w:val="both"/>
        <w:rPr>
          <w:rFonts w:ascii="Arial" w:hAnsi="Arial" w:cs="Arial"/>
          <w:sz w:val="24"/>
          <w:szCs w:val="24"/>
        </w:rPr>
      </w:pPr>
      <w:r>
        <w:rPr>
          <w:rFonts w:ascii="Arial" w:hAnsi="Arial" w:cs="Arial"/>
          <w:sz w:val="24"/>
          <w:szCs w:val="24"/>
        </w:rPr>
        <w:t xml:space="preserve">Si è visto </w:t>
      </w:r>
      <w:r w:rsidR="00E31BD3">
        <w:rPr>
          <w:rFonts w:ascii="Arial" w:hAnsi="Arial" w:cs="Arial"/>
          <w:sz w:val="24"/>
          <w:szCs w:val="24"/>
        </w:rPr>
        <w:t xml:space="preserve">nel capitolo 4.1 inerente </w:t>
      </w:r>
      <w:r w:rsidR="00B3115E">
        <w:rPr>
          <w:rFonts w:ascii="Arial" w:hAnsi="Arial" w:cs="Arial"/>
          <w:sz w:val="24"/>
          <w:szCs w:val="24"/>
        </w:rPr>
        <w:t>al Regolamento 2018/842 che esiste u</w:t>
      </w:r>
      <w:r w:rsidR="00C775A5">
        <w:rPr>
          <w:rFonts w:ascii="Arial" w:hAnsi="Arial" w:cs="Arial"/>
          <w:sz w:val="24"/>
          <w:szCs w:val="24"/>
        </w:rPr>
        <w:t xml:space="preserve">n meccanismo di flessibilità connesso al settore LULUCF, </w:t>
      </w:r>
      <w:r w:rsidR="00AF75FA">
        <w:rPr>
          <w:rFonts w:ascii="Arial" w:hAnsi="Arial" w:cs="Arial"/>
          <w:sz w:val="24"/>
          <w:szCs w:val="24"/>
        </w:rPr>
        <w:t>purché</w:t>
      </w:r>
      <w:r w:rsidR="00C775A5">
        <w:rPr>
          <w:rFonts w:ascii="Arial" w:hAnsi="Arial" w:cs="Arial"/>
          <w:sz w:val="24"/>
          <w:szCs w:val="24"/>
        </w:rPr>
        <w:t xml:space="preserve"> vengano rispettate le condizioni del Regolamento </w:t>
      </w:r>
      <w:r w:rsidR="00704FE0">
        <w:rPr>
          <w:rFonts w:ascii="Arial" w:hAnsi="Arial" w:cs="Arial"/>
          <w:sz w:val="24"/>
          <w:szCs w:val="24"/>
        </w:rPr>
        <w:t xml:space="preserve">2018/841. </w:t>
      </w:r>
    </w:p>
    <w:p w14:paraId="065F3A82" w14:textId="69A94F5E" w:rsidR="00704FE0" w:rsidRPr="00671B72" w:rsidRDefault="00704FE0" w:rsidP="00BE55CD">
      <w:pPr>
        <w:pStyle w:val="Corpotesto"/>
        <w:ind w:right="45" w:firstLine="567"/>
        <w:jc w:val="both"/>
        <w:rPr>
          <w:rFonts w:ascii="Arial" w:hAnsi="Arial" w:cs="Arial"/>
          <w:sz w:val="24"/>
          <w:szCs w:val="24"/>
          <w:highlight w:val="yellow"/>
        </w:rPr>
      </w:pPr>
      <w:r w:rsidRPr="00671B72">
        <w:rPr>
          <w:rFonts w:ascii="Arial" w:hAnsi="Arial" w:cs="Arial"/>
          <w:sz w:val="24"/>
          <w:szCs w:val="24"/>
          <w:highlight w:val="yellow"/>
        </w:rPr>
        <w:t>Nel caso dell’Italia questo meccanismo consente l’u</w:t>
      </w:r>
      <w:r w:rsidR="004524DE" w:rsidRPr="00671B72">
        <w:rPr>
          <w:rFonts w:ascii="Arial" w:hAnsi="Arial" w:cs="Arial"/>
          <w:sz w:val="24"/>
          <w:szCs w:val="24"/>
          <w:highlight w:val="yellow"/>
        </w:rPr>
        <w:t>tilizzo di -11,5 Mton di CO</w:t>
      </w:r>
      <w:r w:rsidR="004524DE" w:rsidRPr="00671B72">
        <w:rPr>
          <w:rFonts w:ascii="Arial" w:hAnsi="Arial" w:cs="Arial"/>
          <w:sz w:val="24"/>
          <w:szCs w:val="24"/>
          <w:highlight w:val="yellow"/>
          <w:vertAlign w:val="subscript"/>
        </w:rPr>
        <w:t>2</w:t>
      </w:r>
      <w:r w:rsidR="004524DE" w:rsidRPr="00671B72">
        <w:rPr>
          <w:rFonts w:ascii="Arial" w:hAnsi="Arial" w:cs="Arial"/>
          <w:sz w:val="24"/>
          <w:szCs w:val="24"/>
          <w:highlight w:val="yellow"/>
        </w:rPr>
        <w:t xml:space="preserve"> </w:t>
      </w:r>
      <w:proofErr w:type="spellStart"/>
      <w:r w:rsidR="004524DE" w:rsidRPr="00671B72">
        <w:rPr>
          <w:rFonts w:ascii="Arial" w:hAnsi="Arial" w:cs="Arial"/>
          <w:sz w:val="24"/>
          <w:szCs w:val="24"/>
          <w:highlight w:val="yellow"/>
        </w:rPr>
        <w:t>eq</w:t>
      </w:r>
      <w:proofErr w:type="spellEnd"/>
      <w:r w:rsidR="004524DE" w:rsidRPr="00671B72">
        <w:rPr>
          <w:rFonts w:ascii="Arial" w:hAnsi="Arial" w:cs="Arial"/>
          <w:sz w:val="24"/>
          <w:szCs w:val="24"/>
          <w:highlight w:val="yellow"/>
        </w:rPr>
        <w:t xml:space="preserve">. </w:t>
      </w:r>
      <w:r w:rsidR="002D32B1" w:rsidRPr="00671B72">
        <w:rPr>
          <w:rFonts w:ascii="Arial" w:hAnsi="Arial" w:cs="Arial"/>
          <w:sz w:val="24"/>
          <w:szCs w:val="24"/>
          <w:highlight w:val="yellow"/>
        </w:rPr>
        <w:t>in dieci anni</w:t>
      </w:r>
      <w:r w:rsidR="00900364" w:rsidRPr="00671B72">
        <w:rPr>
          <w:rFonts w:ascii="Arial" w:hAnsi="Arial" w:cs="Arial"/>
          <w:sz w:val="24"/>
          <w:szCs w:val="24"/>
          <w:highlight w:val="yellow"/>
        </w:rPr>
        <w:t xml:space="preserve"> (2021-2030)</w:t>
      </w:r>
      <w:r w:rsidR="002D32B1" w:rsidRPr="00671B72">
        <w:rPr>
          <w:rFonts w:ascii="Arial" w:hAnsi="Arial" w:cs="Arial"/>
          <w:sz w:val="24"/>
          <w:szCs w:val="24"/>
          <w:highlight w:val="yellow"/>
        </w:rPr>
        <w:t xml:space="preserve"> </w:t>
      </w:r>
      <w:r w:rsidR="004524DE" w:rsidRPr="00671B72">
        <w:rPr>
          <w:rFonts w:ascii="Arial" w:hAnsi="Arial" w:cs="Arial"/>
          <w:sz w:val="24"/>
          <w:szCs w:val="24"/>
          <w:highlight w:val="yellow"/>
        </w:rPr>
        <w:t>per l</w:t>
      </w:r>
      <w:r w:rsidR="00A477D8" w:rsidRPr="00671B72">
        <w:rPr>
          <w:rFonts w:ascii="Arial" w:hAnsi="Arial" w:cs="Arial"/>
          <w:sz w:val="24"/>
          <w:szCs w:val="24"/>
          <w:highlight w:val="yellow"/>
        </w:rPr>
        <w:t>e attività di compensazione nell’ESR</w:t>
      </w:r>
      <w:r w:rsidR="00435295" w:rsidRPr="00671B72">
        <w:rPr>
          <w:rFonts w:ascii="Arial" w:hAnsi="Arial" w:cs="Arial"/>
          <w:sz w:val="24"/>
          <w:szCs w:val="24"/>
          <w:highlight w:val="yellow"/>
        </w:rPr>
        <w:t xml:space="preserve"> </w:t>
      </w:r>
      <w:r w:rsidR="00900364" w:rsidRPr="00671B72">
        <w:rPr>
          <w:rFonts w:ascii="Arial" w:hAnsi="Arial" w:cs="Arial"/>
          <w:sz w:val="24"/>
          <w:szCs w:val="24"/>
          <w:highlight w:val="yellow"/>
        </w:rPr>
        <w:t>ai fini de</w:t>
      </w:r>
      <w:r w:rsidR="00435295" w:rsidRPr="00671B72">
        <w:rPr>
          <w:rFonts w:ascii="Arial" w:hAnsi="Arial" w:cs="Arial"/>
          <w:sz w:val="24"/>
          <w:szCs w:val="24"/>
          <w:highlight w:val="yellow"/>
        </w:rPr>
        <w:t xml:space="preserve">l raggiungimento </w:t>
      </w:r>
      <w:r w:rsidR="00900364" w:rsidRPr="00671B72">
        <w:rPr>
          <w:rFonts w:ascii="Arial" w:hAnsi="Arial" w:cs="Arial"/>
          <w:sz w:val="24"/>
          <w:szCs w:val="24"/>
          <w:highlight w:val="yellow"/>
        </w:rPr>
        <w:t xml:space="preserve">nel 2030 </w:t>
      </w:r>
      <w:r w:rsidR="00435295" w:rsidRPr="00671B72">
        <w:rPr>
          <w:rFonts w:ascii="Arial" w:hAnsi="Arial" w:cs="Arial"/>
          <w:sz w:val="24"/>
          <w:szCs w:val="24"/>
          <w:highlight w:val="yellow"/>
        </w:rPr>
        <w:t>degli obbiettivi del -33% delle emissioni rispetto al 2005</w:t>
      </w:r>
      <w:r w:rsidR="003566E5" w:rsidRPr="00671B72">
        <w:rPr>
          <w:rFonts w:ascii="Arial" w:hAnsi="Arial" w:cs="Arial"/>
          <w:sz w:val="24"/>
          <w:szCs w:val="24"/>
          <w:highlight w:val="yellow"/>
        </w:rPr>
        <w:t>, che significa 1,15 Mt</w:t>
      </w:r>
      <w:r w:rsidR="00490FF1" w:rsidRPr="00671B72">
        <w:rPr>
          <w:rFonts w:ascii="Arial" w:hAnsi="Arial" w:cs="Arial"/>
          <w:sz w:val="24"/>
          <w:szCs w:val="24"/>
          <w:highlight w:val="yellow"/>
        </w:rPr>
        <w:t>on di CO</w:t>
      </w:r>
      <w:r w:rsidR="00490FF1" w:rsidRPr="00671B72">
        <w:rPr>
          <w:rFonts w:ascii="Arial" w:hAnsi="Arial" w:cs="Arial"/>
          <w:sz w:val="24"/>
          <w:szCs w:val="24"/>
          <w:highlight w:val="yellow"/>
          <w:vertAlign w:val="subscript"/>
        </w:rPr>
        <w:t>2</w:t>
      </w:r>
      <w:r w:rsidR="00490FF1" w:rsidRPr="00671B72">
        <w:rPr>
          <w:rFonts w:ascii="Arial" w:hAnsi="Arial" w:cs="Arial"/>
          <w:sz w:val="24"/>
          <w:szCs w:val="24"/>
          <w:highlight w:val="yellow"/>
        </w:rPr>
        <w:t xml:space="preserve"> all’anno</w:t>
      </w:r>
      <w:r w:rsidR="00435295" w:rsidRPr="00671B72">
        <w:rPr>
          <w:rFonts w:ascii="Arial" w:hAnsi="Arial" w:cs="Arial"/>
          <w:sz w:val="24"/>
          <w:szCs w:val="24"/>
          <w:highlight w:val="yellow"/>
        </w:rPr>
        <w:t xml:space="preserve">. </w:t>
      </w:r>
      <w:r w:rsidR="002D32B1" w:rsidRPr="00671B72">
        <w:rPr>
          <w:rFonts w:ascii="Arial" w:hAnsi="Arial" w:cs="Arial"/>
          <w:sz w:val="24"/>
          <w:szCs w:val="24"/>
          <w:highlight w:val="yellow"/>
        </w:rPr>
        <w:t xml:space="preserve">Sempre con riferimento all’Italia, il settore LULUCF </w:t>
      </w:r>
      <w:r w:rsidR="00490FF1" w:rsidRPr="00671B72">
        <w:rPr>
          <w:rFonts w:ascii="Arial" w:hAnsi="Arial" w:cs="Arial"/>
          <w:sz w:val="24"/>
          <w:szCs w:val="24"/>
          <w:highlight w:val="yellow"/>
        </w:rPr>
        <w:t>ha una quantità di assorbimenti netti molto maggiore</w:t>
      </w:r>
      <w:r w:rsidR="00AC4065" w:rsidRPr="00671B72">
        <w:rPr>
          <w:rFonts w:ascii="Arial" w:hAnsi="Arial" w:cs="Arial"/>
          <w:sz w:val="24"/>
          <w:szCs w:val="24"/>
          <w:highlight w:val="yellow"/>
        </w:rPr>
        <w:t xml:space="preserve"> nella somma di tutte le sue componenti</w:t>
      </w:r>
      <w:r w:rsidR="00977CEC" w:rsidRPr="00671B72">
        <w:rPr>
          <w:rFonts w:ascii="Arial" w:hAnsi="Arial" w:cs="Arial"/>
          <w:sz w:val="24"/>
          <w:szCs w:val="24"/>
          <w:highlight w:val="yellow"/>
        </w:rPr>
        <w:t xml:space="preserve">: solo per il settore forestale, gli assorbimenti stimati per questo periodo </w:t>
      </w:r>
      <w:r w:rsidR="001E75EC" w:rsidRPr="00671B72">
        <w:rPr>
          <w:rFonts w:ascii="Arial" w:hAnsi="Arial" w:cs="Arial"/>
          <w:sz w:val="24"/>
          <w:szCs w:val="24"/>
          <w:highlight w:val="yellow"/>
        </w:rPr>
        <w:t xml:space="preserve">a livello annuo </w:t>
      </w:r>
      <w:r w:rsidR="00977CEC" w:rsidRPr="00671B72">
        <w:rPr>
          <w:rFonts w:ascii="Arial" w:hAnsi="Arial" w:cs="Arial"/>
          <w:sz w:val="24"/>
          <w:szCs w:val="24"/>
          <w:highlight w:val="yellow"/>
        </w:rPr>
        <w:t xml:space="preserve">sono pari a </w:t>
      </w:r>
      <w:r w:rsidR="00FE46EB" w:rsidRPr="00671B72">
        <w:rPr>
          <w:rFonts w:ascii="Arial" w:hAnsi="Arial" w:cs="Arial"/>
          <w:sz w:val="24"/>
          <w:szCs w:val="24"/>
          <w:highlight w:val="yellow"/>
        </w:rPr>
        <w:lastRenderedPageBreak/>
        <w:t>26,</w:t>
      </w:r>
      <w:r w:rsidR="003C3180" w:rsidRPr="00671B72">
        <w:rPr>
          <w:rFonts w:ascii="Arial" w:hAnsi="Arial" w:cs="Arial"/>
          <w:sz w:val="24"/>
          <w:szCs w:val="24"/>
          <w:highlight w:val="yellow"/>
        </w:rPr>
        <w:t xml:space="preserve">559 </w:t>
      </w:r>
      <w:r w:rsidR="00811445" w:rsidRPr="00671B72">
        <w:rPr>
          <w:rFonts w:ascii="Arial" w:hAnsi="Arial" w:cs="Arial"/>
          <w:sz w:val="24"/>
          <w:szCs w:val="24"/>
          <w:highlight w:val="yellow"/>
        </w:rPr>
        <w:t>Mton di CO</w:t>
      </w:r>
      <w:r w:rsidR="00811445" w:rsidRPr="00671B72">
        <w:rPr>
          <w:rFonts w:ascii="Arial" w:hAnsi="Arial" w:cs="Arial"/>
          <w:sz w:val="24"/>
          <w:szCs w:val="24"/>
          <w:highlight w:val="yellow"/>
          <w:vertAlign w:val="subscript"/>
        </w:rPr>
        <w:t>2</w:t>
      </w:r>
      <w:r w:rsidR="00811445" w:rsidRPr="00671B72">
        <w:rPr>
          <w:rFonts w:ascii="Arial" w:hAnsi="Arial" w:cs="Arial"/>
          <w:sz w:val="24"/>
          <w:szCs w:val="24"/>
          <w:highlight w:val="yellow"/>
        </w:rPr>
        <w:t xml:space="preserve">, quindi vi è una differenza di </w:t>
      </w:r>
      <w:r w:rsidR="001E75EC" w:rsidRPr="00671B72">
        <w:rPr>
          <w:rFonts w:ascii="Arial" w:hAnsi="Arial" w:cs="Arial"/>
          <w:sz w:val="24"/>
          <w:szCs w:val="24"/>
          <w:highlight w:val="yellow"/>
        </w:rPr>
        <w:t xml:space="preserve">25,449 </w:t>
      </w:r>
      <w:r w:rsidR="00811445" w:rsidRPr="00671B72">
        <w:rPr>
          <w:rFonts w:ascii="Arial" w:hAnsi="Arial" w:cs="Arial"/>
          <w:sz w:val="24"/>
          <w:szCs w:val="24"/>
          <w:highlight w:val="yellow"/>
        </w:rPr>
        <w:t xml:space="preserve">M ton, che significa </w:t>
      </w:r>
      <w:r w:rsidR="00B5106D" w:rsidRPr="00671B72">
        <w:rPr>
          <w:rFonts w:ascii="Arial" w:hAnsi="Arial" w:cs="Arial"/>
          <w:sz w:val="24"/>
          <w:szCs w:val="24"/>
          <w:highlight w:val="yellow"/>
        </w:rPr>
        <w:t>25</w:t>
      </w:r>
      <w:r w:rsidR="00811445" w:rsidRPr="00671B72">
        <w:rPr>
          <w:rFonts w:ascii="Arial" w:hAnsi="Arial" w:cs="Arial"/>
          <w:sz w:val="24"/>
          <w:szCs w:val="24"/>
          <w:highlight w:val="yellow"/>
        </w:rPr>
        <w:t>,5 milioni di ton all’anno in più</w:t>
      </w:r>
      <w:r w:rsidR="002A25AB" w:rsidRPr="00671B72">
        <w:rPr>
          <w:rFonts w:ascii="Arial" w:hAnsi="Arial" w:cs="Arial"/>
          <w:sz w:val="24"/>
          <w:szCs w:val="24"/>
          <w:highlight w:val="yellow"/>
        </w:rPr>
        <w:t xml:space="preserve"> </w:t>
      </w:r>
      <w:r w:rsidR="004417F2" w:rsidRPr="00671B72">
        <w:rPr>
          <w:rFonts w:ascii="Arial" w:hAnsi="Arial" w:cs="Arial"/>
          <w:sz w:val="24"/>
          <w:szCs w:val="24"/>
          <w:highlight w:val="yellow"/>
        </w:rPr>
        <w:t>rispetto a quanto sia concesso di utilizzare in compensazione</w:t>
      </w:r>
      <w:r w:rsidR="002A0F98" w:rsidRPr="00671B72">
        <w:rPr>
          <w:rFonts w:ascii="Arial" w:hAnsi="Arial" w:cs="Arial"/>
          <w:sz w:val="24"/>
          <w:szCs w:val="24"/>
          <w:highlight w:val="yellow"/>
        </w:rPr>
        <w:t>, s</w:t>
      </w:r>
      <w:r w:rsidR="00044CD9" w:rsidRPr="00671B72">
        <w:rPr>
          <w:rFonts w:ascii="Arial" w:hAnsi="Arial" w:cs="Arial"/>
          <w:sz w:val="24"/>
          <w:szCs w:val="24"/>
          <w:highlight w:val="yellow"/>
        </w:rPr>
        <w:t>enza contare l’incremento addizionale che può essere ottenuto con la gestione forestale sostenibile</w:t>
      </w:r>
      <w:r w:rsidR="00436890" w:rsidRPr="00671B72">
        <w:rPr>
          <w:rStyle w:val="Rimandonotaapidipagina"/>
          <w:rFonts w:ascii="Arial" w:hAnsi="Arial" w:cs="Arial"/>
          <w:sz w:val="24"/>
          <w:szCs w:val="24"/>
          <w:highlight w:val="yellow"/>
        </w:rPr>
        <w:footnoteReference w:id="66"/>
      </w:r>
      <w:r w:rsidR="007E4890" w:rsidRPr="00671B72">
        <w:rPr>
          <w:rFonts w:ascii="Arial" w:hAnsi="Arial" w:cs="Arial"/>
          <w:sz w:val="24"/>
          <w:szCs w:val="24"/>
          <w:highlight w:val="yellow"/>
        </w:rPr>
        <w:t xml:space="preserve">. </w:t>
      </w:r>
    </w:p>
    <w:p w14:paraId="034CD8BE" w14:textId="297C3685" w:rsidR="00263A58" w:rsidRDefault="00263A58" w:rsidP="00BE55CD">
      <w:pPr>
        <w:pStyle w:val="Corpotesto"/>
        <w:ind w:right="45" w:firstLine="567"/>
        <w:jc w:val="both"/>
        <w:rPr>
          <w:rFonts w:ascii="Arial" w:hAnsi="Arial" w:cs="Arial"/>
          <w:sz w:val="24"/>
          <w:szCs w:val="24"/>
        </w:rPr>
      </w:pPr>
      <w:r w:rsidRPr="00671B72">
        <w:rPr>
          <w:rFonts w:ascii="Arial" w:hAnsi="Arial" w:cs="Arial"/>
          <w:sz w:val="24"/>
          <w:szCs w:val="24"/>
          <w:highlight w:val="yellow"/>
        </w:rPr>
        <w:t xml:space="preserve">A questi </w:t>
      </w:r>
      <w:r w:rsidR="002D5F85" w:rsidRPr="00671B72">
        <w:rPr>
          <w:rFonts w:ascii="Arial" w:hAnsi="Arial" w:cs="Arial"/>
          <w:sz w:val="24"/>
          <w:szCs w:val="24"/>
          <w:highlight w:val="yellow"/>
        </w:rPr>
        <w:t xml:space="preserve">valori per il settore LULUCF vanno </w:t>
      </w:r>
      <w:r w:rsidR="00AF75FA" w:rsidRPr="00671B72">
        <w:rPr>
          <w:rFonts w:ascii="Arial" w:hAnsi="Arial" w:cs="Arial"/>
          <w:sz w:val="24"/>
          <w:szCs w:val="24"/>
          <w:highlight w:val="yellow"/>
        </w:rPr>
        <w:t xml:space="preserve">aggiunti </w:t>
      </w:r>
      <w:r w:rsidR="002D5F85" w:rsidRPr="00671B72">
        <w:rPr>
          <w:rFonts w:ascii="Arial" w:hAnsi="Arial" w:cs="Arial"/>
          <w:sz w:val="24"/>
          <w:szCs w:val="24"/>
          <w:highlight w:val="yellow"/>
        </w:rPr>
        <w:t xml:space="preserve">anche gli assorbimenti </w:t>
      </w:r>
      <w:r w:rsidR="000B1800" w:rsidRPr="00671B72">
        <w:rPr>
          <w:rFonts w:ascii="Arial" w:hAnsi="Arial" w:cs="Arial"/>
          <w:sz w:val="24"/>
          <w:szCs w:val="24"/>
          <w:highlight w:val="yellow"/>
        </w:rPr>
        <w:t xml:space="preserve">dei terreni coltivati (esempio frutteti) e pascoli, che complessivamente </w:t>
      </w:r>
      <w:r w:rsidR="00A05960" w:rsidRPr="00671B72">
        <w:rPr>
          <w:rFonts w:ascii="Arial" w:hAnsi="Arial" w:cs="Arial"/>
          <w:sz w:val="24"/>
          <w:szCs w:val="24"/>
          <w:highlight w:val="yellow"/>
        </w:rPr>
        <w:t>sono stimati 40,091 Mton di CO</w:t>
      </w:r>
      <w:r w:rsidR="00A05960" w:rsidRPr="00671B72">
        <w:rPr>
          <w:rFonts w:ascii="Arial" w:hAnsi="Arial" w:cs="Arial"/>
          <w:sz w:val="24"/>
          <w:szCs w:val="24"/>
          <w:highlight w:val="yellow"/>
          <w:vertAlign w:val="subscript"/>
        </w:rPr>
        <w:t>2</w:t>
      </w:r>
      <w:r w:rsidR="0027362C" w:rsidRPr="00671B72">
        <w:rPr>
          <w:rFonts w:ascii="Arial" w:hAnsi="Arial" w:cs="Arial"/>
          <w:sz w:val="24"/>
          <w:szCs w:val="24"/>
          <w:highlight w:val="yellow"/>
        </w:rPr>
        <w:t xml:space="preserve">, </w:t>
      </w:r>
      <w:r w:rsidR="00AF75FA" w:rsidRPr="00671B72">
        <w:rPr>
          <w:rFonts w:ascii="Arial" w:hAnsi="Arial" w:cs="Arial"/>
          <w:sz w:val="24"/>
          <w:szCs w:val="24"/>
          <w:highlight w:val="yellow"/>
        </w:rPr>
        <w:t>tuttavia</w:t>
      </w:r>
      <w:r w:rsidR="0027362C" w:rsidRPr="00671B72">
        <w:rPr>
          <w:rFonts w:ascii="Arial" w:hAnsi="Arial" w:cs="Arial"/>
          <w:sz w:val="24"/>
          <w:szCs w:val="24"/>
          <w:highlight w:val="yellow"/>
        </w:rPr>
        <w:t xml:space="preserve"> è preferibile non considerarli perché è ragionev</w:t>
      </w:r>
      <w:r w:rsidR="00662E39" w:rsidRPr="00671B72">
        <w:rPr>
          <w:rFonts w:ascii="Arial" w:hAnsi="Arial" w:cs="Arial"/>
          <w:sz w:val="24"/>
          <w:szCs w:val="24"/>
          <w:highlight w:val="yellow"/>
        </w:rPr>
        <w:t xml:space="preserve">ole </w:t>
      </w:r>
      <w:r w:rsidR="00AF75FA" w:rsidRPr="00671B72">
        <w:rPr>
          <w:rFonts w:ascii="Arial" w:hAnsi="Arial" w:cs="Arial"/>
          <w:sz w:val="24"/>
          <w:szCs w:val="24"/>
          <w:highlight w:val="yellow"/>
        </w:rPr>
        <w:t xml:space="preserve">pensare </w:t>
      </w:r>
      <w:r w:rsidR="00662E39" w:rsidRPr="00671B72">
        <w:rPr>
          <w:rFonts w:ascii="Arial" w:hAnsi="Arial" w:cs="Arial"/>
          <w:sz w:val="24"/>
          <w:szCs w:val="24"/>
          <w:highlight w:val="yellow"/>
        </w:rPr>
        <w:t xml:space="preserve">che </w:t>
      </w:r>
      <w:r w:rsidR="00AF75FA" w:rsidRPr="00671B72">
        <w:rPr>
          <w:rFonts w:ascii="Arial" w:hAnsi="Arial" w:cs="Arial"/>
          <w:sz w:val="24"/>
          <w:szCs w:val="24"/>
          <w:highlight w:val="yellow"/>
        </w:rPr>
        <w:t>vengano</w:t>
      </w:r>
      <w:r w:rsidR="00662E39" w:rsidRPr="00671B72">
        <w:rPr>
          <w:rFonts w:ascii="Arial" w:hAnsi="Arial" w:cs="Arial"/>
          <w:sz w:val="24"/>
          <w:szCs w:val="24"/>
          <w:highlight w:val="yellow"/>
        </w:rPr>
        <w:t xml:space="preserve"> utilizzati come compensazione delle emissioni del settore agricolo</w:t>
      </w:r>
      <w:r w:rsidR="00324176" w:rsidRPr="00671B72">
        <w:rPr>
          <w:rFonts w:ascii="Arial" w:hAnsi="Arial" w:cs="Arial"/>
          <w:sz w:val="24"/>
          <w:szCs w:val="24"/>
          <w:highlight w:val="yellow"/>
        </w:rPr>
        <w:t xml:space="preserve"> (soprattutto gli allevamenti)</w:t>
      </w:r>
      <w:r w:rsidR="00662E39" w:rsidRPr="00671B72">
        <w:rPr>
          <w:rFonts w:ascii="Arial" w:hAnsi="Arial" w:cs="Arial"/>
          <w:sz w:val="24"/>
          <w:szCs w:val="24"/>
          <w:highlight w:val="yellow"/>
        </w:rPr>
        <w:t>, che sono piuttosto important</w:t>
      </w:r>
      <w:r w:rsidR="00324176" w:rsidRPr="00671B72">
        <w:rPr>
          <w:rFonts w:ascii="Arial" w:hAnsi="Arial" w:cs="Arial"/>
          <w:sz w:val="24"/>
          <w:szCs w:val="24"/>
          <w:highlight w:val="yellow"/>
        </w:rPr>
        <w:t>i.</w:t>
      </w:r>
      <w:r w:rsidR="00324176">
        <w:rPr>
          <w:rFonts w:ascii="Arial" w:hAnsi="Arial" w:cs="Arial"/>
          <w:sz w:val="24"/>
          <w:szCs w:val="24"/>
        </w:rPr>
        <w:t xml:space="preserve"> </w:t>
      </w:r>
    </w:p>
    <w:p w14:paraId="73AB4806" w14:textId="5BC2BE0B" w:rsidR="00E22C7B" w:rsidRPr="00CF2ED0" w:rsidRDefault="00E22C7B" w:rsidP="00BE55CD">
      <w:pPr>
        <w:pStyle w:val="Corpotesto"/>
        <w:ind w:right="45" w:firstLine="567"/>
        <w:jc w:val="both"/>
        <w:rPr>
          <w:rFonts w:ascii="Arial" w:hAnsi="Arial" w:cs="Arial"/>
          <w:sz w:val="24"/>
          <w:szCs w:val="24"/>
          <w:highlight w:val="yellow"/>
        </w:rPr>
      </w:pPr>
      <w:r w:rsidRPr="00CF2ED0">
        <w:rPr>
          <w:rFonts w:ascii="Arial" w:hAnsi="Arial" w:cs="Arial"/>
          <w:sz w:val="24"/>
          <w:szCs w:val="24"/>
          <w:highlight w:val="yellow"/>
        </w:rPr>
        <w:t xml:space="preserve">In ogni caso, anche limitandosi al solo settore forestale, i valori sono </w:t>
      </w:r>
      <w:r w:rsidR="00372287" w:rsidRPr="00CF2ED0">
        <w:rPr>
          <w:rFonts w:ascii="Arial" w:hAnsi="Arial" w:cs="Arial"/>
          <w:sz w:val="24"/>
          <w:szCs w:val="24"/>
          <w:highlight w:val="yellow"/>
        </w:rPr>
        <w:t>significativi. Al momento tutto quest</w:t>
      </w:r>
      <w:r w:rsidR="00850D3A" w:rsidRPr="00CF2ED0">
        <w:rPr>
          <w:rFonts w:ascii="Arial" w:hAnsi="Arial" w:cs="Arial"/>
          <w:sz w:val="24"/>
          <w:szCs w:val="24"/>
          <w:highlight w:val="yellow"/>
        </w:rPr>
        <w:t xml:space="preserve">o ammontare è avocato alla Stato </w:t>
      </w:r>
      <w:r w:rsidR="00AF75FA" w:rsidRPr="00CF2ED0">
        <w:rPr>
          <w:rFonts w:ascii="Arial" w:hAnsi="Arial" w:cs="Arial"/>
          <w:sz w:val="24"/>
          <w:szCs w:val="24"/>
          <w:highlight w:val="yellow"/>
        </w:rPr>
        <w:t>i</w:t>
      </w:r>
      <w:r w:rsidR="00850D3A" w:rsidRPr="00CF2ED0">
        <w:rPr>
          <w:rFonts w:ascii="Arial" w:hAnsi="Arial" w:cs="Arial"/>
          <w:sz w:val="24"/>
          <w:szCs w:val="24"/>
          <w:highlight w:val="yellow"/>
        </w:rPr>
        <w:t xml:space="preserve">taliano, che però non risulta abbia messo in opera meccanismi di utilizzo </w:t>
      </w:r>
      <w:r w:rsidR="005F6460" w:rsidRPr="00CF2ED0">
        <w:rPr>
          <w:rFonts w:ascii="Arial" w:hAnsi="Arial" w:cs="Arial"/>
          <w:sz w:val="24"/>
          <w:szCs w:val="24"/>
          <w:highlight w:val="yellow"/>
        </w:rPr>
        <w:t xml:space="preserve">di quella differenza di </w:t>
      </w:r>
      <w:r w:rsidR="00B5106D" w:rsidRPr="00CF2ED0">
        <w:rPr>
          <w:rFonts w:ascii="Arial" w:hAnsi="Arial" w:cs="Arial"/>
          <w:sz w:val="24"/>
          <w:szCs w:val="24"/>
          <w:highlight w:val="yellow"/>
        </w:rPr>
        <w:t xml:space="preserve">25,449 </w:t>
      </w:r>
      <w:r w:rsidR="005F6460" w:rsidRPr="00CF2ED0">
        <w:rPr>
          <w:rFonts w:ascii="Arial" w:hAnsi="Arial" w:cs="Arial"/>
          <w:sz w:val="24"/>
          <w:szCs w:val="24"/>
          <w:highlight w:val="yellow"/>
        </w:rPr>
        <w:t>Mton di CO</w:t>
      </w:r>
      <w:r w:rsidR="005F6460" w:rsidRPr="00CF2ED0">
        <w:rPr>
          <w:rFonts w:ascii="Arial" w:hAnsi="Arial" w:cs="Arial"/>
          <w:sz w:val="24"/>
          <w:szCs w:val="24"/>
          <w:highlight w:val="yellow"/>
          <w:vertAlign w:val="subscript"/>
        </w:rPr>
        <w:t>2</w:t>
      </w:r>
      <w:r w:rsidR="005F6460" w:rsidRPr="00CF2ED0">
        <w:rPr>
          <w:rFonts w:ascii="Arial" w:hAnsi="Arial" w:cs="Arial"/>
          <w:sz w:val="24"/>
          <w:szCs w:val="24"/>
          <w:highlight w:val="yellow"/>
        </w:rPr>
        <w:t xml:space="preserve">. </w:t>
      </w:r>
    </w:p>
    <w:p w14:paraId="533E0C31" w14:textId="7FE24D24" w:rsidR="00AF05A7" w:rsidRDefault="00AF05A7" w:rsidP="00BE55CD">
      <w:pPr>
        <w:pStyle w:val="Corpotesto"/>
        <w:ind w:right="45" w:firstLine="567"/>
        <w:jc w:val="both"/>
        <w:rPr>
          <w:rFonts w:ascii="Arial" w:hAnsi="Arial" w:cs="Arial"/>
          <w:sz w:val="24"/>
          <w:szCs w:val="24"/>
        </w:rPr>
      </w:pPr>
      <w:r w:rsidRPr="00CF2ED0">
        <w:rPr>
          <w:rFonts w:ascii="Arial" w:hAnsi="Arial" w:cs="Arial"/>
          <w:sz w:val="24"/>
          <w:szCs w:val="24"/>
          <w:highlight w:val="yellow"/>
        </w:rPr>
        <w:t>Anche limitandosi alle sole eccedenze</w:t>
      </w:r>
      <w:r w:rsidR="00760C33" w:rsidRPr="00CF2ED0">
        <w:rPr>
          <w:rFonts w:ascii="Arial" w:hAnsi="Arial" w:cs="Arial"/>
          <w:sz w:val="24"/>
          <w:szCs w:val="24"/>
          <w:highlight w:val="yellow"/>
        </w:rPr>
        <w:t xml:space="preserve"> di </w:t>
      </w:r>
      <w:r w:rsidR="00B5106D" w:rsidRPr="00CF2ED0">
        <w:rPr>
          <w:rFonts w:ascii="Arial" w:hAnsi="Arial" w:cs="Arial"/>
          <w:sz w:val="24"/>
          <w:szCs w:val="24"/>
          <w:highlight w:val="yellow"/>
        </w:rPr>
        <w:t xml:space="preserve">25,449 </w:t>
      </w:r>
      <w:r w:rsidR="001B0F35" w:rsidRPr="00CF2ED0">
        <w:rPr>
          <w:rFonts w:ascii="Arial" w:hAnsi="Arial" w:cs="Arial"/>
          <w:sz w:val="24"/>
          <w:szCs w:val="24"/>
          <w:highlight w:val="yellow"/>
        </w:rPr>
        <w:t xml:space="preserve">milioni </w:t>
      </w:r>
      <w:r w:rsidR="00671B72" w:rsidRPr="00CF2ED0">
        <w:rPr>
          <w:rFonts w:ascii="Arial" w:hAnsi="Arial" w:cs="Arial"/>
          <w:sz w:val="24"/>
          <w:szCs w:val="24"/>
          <w:highlight w:val="yellow"/>
        </w:rPr>
        <w:t>annue</w:t>
      </w:r>
      <w:r w:rsidRPr="00CF2ED0">
        <w:rPr>
          <w:rFonts w:ascii="Arial" w:hAnsi="Arial" w:cs="Arial"/>
          <w:sz w:val="24"/>
          <w:szCs w:val="24"/>
          <w:highlight w:val="yellow"/>
        </w:rPr>
        <w:t xml:space="preserve">, </w:t>
      </w:r>
      <w:r w:rsidR="00760C33" w:rsidRPr="00CF2ED0">
        <w:rPr>
          <w:rFonts w:ascii="Arial" w:hAnsi="Arial" w:cs="Arial"/>
          <w:sz w:val="24"/>
          <w:szCs w:val="24"/>
          <w:highlight w:val="yellow"/>
        </w:rPr>
        <w:t xml:space="preserve">sarebbe logico che </w:t>
      </w:r>
      <w:r w:rsidR="001B0F35" w:rsidRPr="00CF2ED0">
        <w:rPr>
          <w:rFonts w:ascii="Arial" w:hAnsi="Arial" w:cs="Arial"/>
          <w:sz w:val="24"/>
          <w:szCs w:val="24"/>
          <w:highlight w:val="yellow"/>
        </w:rPr>
        <w:t xml:space="preserve">fossero le Regioni </w:t>
      </w:r>
      <w:r w:rsidR="00803C80" w:rsidRPr="00CF2ED0">
        <w:rPr>
          <w:rFonts w:ascii="Arial" w:hAnsi="Arial" w:cs="Arial"/>
          <w:sz w:val="24"/>
          <w:szCs w:val="24"/>
          <w:highlight w:val="yellow"/>
        </w:rPr>
        <w:t>ad essere delegate al loro utilizzo, per due ordini di ragioni:</w:t>
      </w:r>
      <w:r w:rsidR="00803C80">
        <w:rPr>
          <w:rFonts w:ascii="Arial" w:hAnsi="Arial" w:cs="Arial"/>
          <w:sz w:val="24"/>
          <w:szCs w:val="24"/>
        </w:rPr>
        <w:t xml:space="preserve"> </w:t>
      </w:r>
    </w:p>
    <w:p w14:paraId="1D82F592" w14:textId="441398D0" w:rsidR="00803C80" w:rsidRDefault="00803C80" w:rsidP="00BE55CD">
      <w:pPr>
        <w:pStyle w:val="Corpotesto"/>
        <w:ind w:right="45" w:firstLine="567"/>
        <w:jc w:val="both"/>
        <w:rPr>
          <w:rFonts w:ascii="Arial" w:hAnsi="Arial" w:cs="Arial"/>
          <w:sz w:val="24"/>
          <w:szCs w:val="24"/>
        </w:rPr>
      </w:pPr>
    </w:p>
    <w:p w14:paraId="3EDA4070" w14:textId="789F2A94" w:rsidR="00803C80" w:rsidRDefault="00803C80" w:rsidP="00941C73">
      <w:pPr>
        <w:pStyle w:val="Corpotesto"/>
        <w:numPr>
          <w:ilvl w:val="0"/>
          <w:numId w:val="48"/>
        </w:numPr>
        <w:ind w:right="45"/>
        <w:jc w:val="both"/>
        <w:rPr>
          <w:rFonts w:ascii="Arial" w:hAnsi="Arial" w:cs="Arial"/>
          <w:sz w:val="24"/>
          <w:szCs w:val="24"/>
        </w:rPr>
      </w:pPr>
      <w:r>
        <w:rPr>
          <w:rFonts w:ascii="Arial" w:hAnsi="Arial" w:cs="Arial"/>
          <w:sz w:val="24"/>
          <w:szCs w:val="24"/>
        </w:rPr>
        <w:t>sono incaricate della gestione forestale</w:t>
      </w:r>
      <w:r w:rsidR="00843A98">
        <w:rPr>
          <w:rFonts w:ascii="Arial" w:hAnsi="Arial" w:cs="Arial"/>
          <w:sz w:val="24"/>
          <w:szCs w:val="24"/>
        </w:rPr>
        <w:t>, attraverso la redazione dei Piani Regionali Forestali, come stabilito dal Testo Unico Forestale (D.L. 34</w:t>
      </w:r>
      <w:r w:rsidR="00EB0733">
        <w:rPr>
          <w:rFonts w:ascii="Arial" w:hAnsi="Arial" w:cs="Arial"/>
          <w:sz w:val="24"/>
          <w:szCs w:val="24"/>
        </w:rPr>
        <w:t xml:space="preserve"> 2018);</w:t>
      </w:r>
    </w:p>
    <w:p w14:paraId="0D316149" w14:textId="6638AEC5" w:rsidR="00EB0733" w:rsidRDefault="00EB0733" w:rsidP="00941C73">
      <w:pPr>
        <w:pStyle w:val="Corpotesto"/>
        <w:numPr>
          <w:ilvl w:val="0"/>
          <w:numId w:val="48"/>
        </w:numPr>
        <w:ind w:right="45"/>
        <w:jc w:val="both"/>
        <w:rPr>
          <w:rFonts w:ascii="Arial" w:hAnsi="Arial" w:cs="Arial"/>
          <w:sz w:val="24"/>
          <w:szCs w:val="24"/>
        </w:rPr>
      </w:pPr>
      <w:r>
        <w:rPr>
          <w:rFonts w:ascii="Arial" w:hAnsi="Arial" w:cs="Arial"/>
          <w:sz w:val="24"/>
          <w:szCs w:val="24"/>
        </w:rPr>
        <w:t>sono incaricate della gestione dei PES, come emerge dal Collegato Ambientale (L. 221/2015</w:t>
      </w:r>
      <w:r w:rsidR="006859E1">
        <w:rPr>
          <w:rFonts w:ascii="Arial" w:hAnsi="Arial" w:cs="Arial"/>
          <w:sz w:val="24"/>
          <w:szCs w:val="24"/>
        </w:rPr>
        <w:t xml:space="preserve"> art. </w:t>
      </w:r>
      <w:r w:rsidR="00DD6B97">
        <w:rPr>
          <w:rFonts w:ascii="Arial" w:hAnsi="Arial" w:cs="Arial"/>
          <w:sz w:val="24"/>
          <w:szCs w:val="24"/>
        </w:rPr>
        <w:t>70</w:t>
      </w:r>
      <w:r>
        <w:rPr>
          <w:rFonts w:ascii="Arial" w:hAnsi="Arial" w:cs="Arial"/>
          <w:sz w:val="24"/>
          <w:szCs w:val="24"/>
        </w:rPr>
        <w:t>)</w:t>
      </w:r>
      <w:r w:rsidR="006931DF">
        <w:rPr>
          <w:rFonts w:ascii="Arial" w:hAnsi="Arial" w:cs="Arial"/>
          <w:sz w:val="24"/>
          <w:szCs w:val="24"/>
        </w:rPr>
        <w:t>,</w:t>
      </w:r>
      <w:r>
        <w:rPr>
          <w:rFonts w:ascii="Arial" w:hAnsi="Arial" w:cs="Arial"/>
          <w:sz w:val="24"/>
          <w:szCs w:val="24"/>
        </w:rPr>
        <w:t xml:space="preserve"> dal</w:t>
      </w:r>
      <w:r w:rsidR="00DD6B97">
        <w:rPr>
          <w:rFonts w:ascii="Arial" w:hAnsi="Arial" w:cs="Arial"/>
          <w:sz w:val="24"/>
          <w:szCs w:val="24"/>
        </w:rPr>
        <w:t>lo stesso D.L. 34/2018 art. 6</w:t>
      </w:r>
      <w:r w:rsidR="006931DF">
        <w:rPr>
          <w:rFonts w:ascii="Arial" w:hAnsi="Arial" w:cs="Arial"/>
          <w:sz w:val="24"/>
          <w:szCs w:val="24"/>
        </w:rPr>
        <w:t xml:space="preserve"> e dalla Strategia Forestale Nazionale </w:t>
      </w:r>
      <w:r w:rsidR="00E66D86">
        <w:rPr>
          <w:rFonts w:ascii="Arial" w:hAnsi="Arial" w:cs="Arial"/>
          <w:sz w:val="24"/>
          <w:szCs w:val="24"/>
        </w:rPr>
        <w:t>(</w:t>
      </w:r>
      <w:r w:rsidR="006931DF">
        <w:rPr>
          <w:rFonts w:ascii="Arial" w:hAnsi="Arial" w:cs="Arial"/>
          <w:sz w:val="24"/>
          <w:szCs w:val="24"/>
        </w:rPr>
        <w:t>in fase di rilascio</w:t>
      </w:r>
      <w:r w:rsidR="00E66D86">
        <w:rPr>
          <w:rFonts w:ascii="Arial" w:hAnsi="Arial" w:cs="Arial"/>
          <w:sz w:val="24"/>
          <w:szCs w:val="24"/>
        </w:rPr>
        <w:t>)</w:t>
      </w:r>
      <w:r w:rsidR="00DD6B97">
        <w:rPr>
          <w:rFonts w:ascii="Arial" w:hAnsi="Arial" w:cs="Arial"/>
          <w:sz w:val="24"/>
          <w:szCs w:val="24"/>
        </w:rPr>
        <w:t xml:space="preserve">. </w:t>
      </w:r>
    </w:p>
    <w:p w14:paraId="6953FD4E" w14:textId="562981A3" w:rsidR="00714761" w:rsidRDefault="00714761" w:rsidP="00BE55CD">
      <w:pPr>
        <w:pStyle w:val="Corpotesto"/>
        <w:ind w:right="45" w:firstLine="567"/>
        <w:jc w:val="both"/>
        <w:rPr>
          <w:rFonts w:ascii="Arial" w:hAnsi="Arial" w:cs="Arial"/>
          <w:sz w:val="24"/>
          <w:szCs w:val="24"/>
        </w:rPr>
      </w:pPr>
    </w:p>
    <w:p w14:paraId="115F1E10" w14:textId="568A37B2" w:rsidR="00714761" w:rsidRDefault="00714761" w:rsidP="00BE55CD">
      <w:pPr>
        <w:pStyle w:val="Corpotesto"/>
        <w:ind w:right="45" w:firstLine="567"/>
        <w:jc w:val="both"/>
        <w:rPr>
          <w:rFonts w:ascii="Arial" w:hAnsi="Arial" w:cs="Arial"/>
          <w:sz w:val="24"/>
          <w:szCs w:val="24"/>
        </w:rPr>
      </w:pPr>
      <w:r>
        <w:rPr>
          <w:rFonts w:ascii="Arial" w:hAnsi="Arial" w:cs="Arial"/>
          <w:sz w:val="24"/>
          <w:szCs w:val="24"/>
        </w:rPr>
        <w:t>Peraltro</w:t>
      </w:r>
      <w:r w:rsidR="00941C73">
        <w:rPr>
          <w:rFonts w:ascii="Arial" w:hAnsi="Arial" w:cs="Arial"/>
          <w:sz w:val="24"/>
          <w:szCs w:val="24"/>
        </w:rPr>
        <w:t>,</w:t>
      </w:r>
      <w:r>
        <w:rPr>
          <w:rFonts w:ascii="Arial" w:hAnsi="Arial" w:cs="Arial"/>
          <w:sz w:val="24"/>
          <w:szCs w:val="24"/>
        </w:rPr>
        <w:t xml:space="preserve"> gli esempi di gestione dei PES, ad esempio in merito alle acque o alla raccolta dei </w:t>
      </w:r>
      <w:r w:rsidR="00512B33">
        <w:rPr>
          <w:rFonts w:ascii="Arial" w:hAnsi="Arial" w:cs="Arial"/>
          <w:sz w:val="24"/>
          <w:szCs w:val="24"/>
        </w:rPr>
        <w:t xml:space="preserve">funghi, sono quasi sempre organizzati dalle Regioni. </w:t>
      </w:r>
      <w:r w:rsidR="00941C73">
        <w:rPr>
          <w:rFonts w:ascii="Arial" w:hAnsi="Arial" w:cs="Arial"/>
          <w:sz w:val="24"/>
          <w:szCs w:val="24"/>
        </w:rPr>
        <w:t xml:space="preserve">L’integrazione in questi PES di crediti di carbonio veri e propri o di </w:t>
      </w:r>
      <w:r w:rsidR="00F16C71">
        <w:rPr>
          <w:rFonts w:ascii="Arial" w:hAnsi="Arial" w:cs="Arial"/>
          <w:sz w:val="24"/>
          <w:szCs w:val="24"/>
        </w:rPr>
        <w:t xml:space="preserve">crediti di sostenibilità, sarebbe un elemento </w:t>
      </w:r>
      <w:r w:rsidR="00352EE2">
        <w:rPr>
          <w:rFonts w:ascii="Arial" w:hAnsi="Arial" w:cs="Arial"/>
          <w:sz w:val="24"/>
          <w:szCs w:val="24"/>
        </w:rPr>
        <w:t xml:space="preserve">di supporto importante </w:t>
      </w:r>
      <w:r w:rsidR="00185C7E">
        <w:rPr>
          <w:rFonts w:ascii="Arial" w:hAnsi="Arial" w:cs="Arial"/>
          <w:sz w:val="24"/>
          <w:szCs w:val="24"/>
        </w:rPr>
        <w:t>per le attività di gestione forestale, in quanto spess</w:t>
      </w:r>
      <w:r w:rsidR="00D4761A">
        <w:rPr>
          <w:rFonts w:ascii="Arial" w:hAnsi="Arial" w:cs="Arial"/>
          <w:sz w:val="24"/>
          <w:szCs w:val="24"/>
        </w:rPr>
        <w:t xml:space="preserve">o questa attività non è sostenibile economicamente senza un intervento pubblico, che avviene </w:t>
      </w:r>
      <w:r w:rsidR="00336BF4">
        <w:rPr>
          <w:rFonts w:ascii="Arial" w:hAnsi="Arial" w:cs="Arial"/>
          <w:sz w:val="24"/>
          <w:szCs w:val="24"/>
        </w:rPr>
        <w:t xml:space="preserve">nella quasi totalità dei casi attraverso il PSR. </w:t>
      </w:r>
    </w:p>
    <w:p w14:paraId="0F877C56" w14:textId="61721C56" w:rsidR="00F22609" w:rsidRDefault="00F22609" w:rsidP="00BE55CD">
      <w:pPr>
        <w:pStyle w:val="Corpotesto"/>
        <w:ind w:right="45" w:firstLine="567"/>
        <w:jc w:val="both"/>
        <w:rPr>
          <w:rFonts w:ascii="Arial" w:hAnsi="Arial" w:cs="Arial"/>
          <w:sz w:val="24"/>
          <w:szCs w:val="24"/>
        </w:rPr>
      </w:pPr>
      <w:r>
        <w:rPr>
          <w:rFonts w:ascii="Arial" w:hAnsi="Arial" w:cs="Arial"/>
          <w:sz w:val="24"/>
          <w:szCs w:val="24"/>
        </w:rPr>
        <w:t xml:space="preserve">La costruzione di una Piattaforma Regionale per lo scambio dei crediti di carbonio potrebbe rappresentare un primo nucleo </w:t>
      </w:r>
      <w:r w:rsidR="001731EE">
        <w:rPr>
          <w:rFonts w:ascii="Arial" w:hAnsi="Arial" w:cs="Arial"/>
          <w:sz w:val="24"/>
          <w:szCs w:val="24"/>
        </w:rPr>
        <w:t xml:space="preserve">di crediti ecosistemici sui quali costruire </w:t>
      </w:r>
      <w:r w:rsidR="00F7385F">
        <w:rPr>
          <w:rFonts w:ascii="Arial" w:hAnsi="Arial" w:cs="Arial"/>
          <w:sz w:val="24"/>
          <w:szCs w:val="24"/>
        </w:rPr>
        <w:t>come moduli aggiuntivi dei crediti ecosistemici conness</w:t>
      </w:r>
      <w:r w:rsidR="00AF75FA">
        <w:rPr>
          <w:rFonts w:ascii="Arial" w:hAnsi="Arial" w:cs="Arial"/>
          <w:sz w:val="24"/>
          <w:szCs w:val="24"/>
        </w:rPr>
        <w:t>i</w:t>
      </w:r>
      <w:r w:rsidR="00F7385F">
        <w:rPr>
          <w:rFonts w:ascii="Arial" w:hAnsi="Arial" w:cs="Arial"/>
          <w:sz w:val="24"/>
          <w:szCs w:val="24"/>
        </w:rPr>
        <w:t xml:space="preserve"> ad altre funzioni ecosistemiche, come la biodiversità, il rischio idrogeologico</w:t>
      </w:r>
      <w:r w:rsidR="009743FD">
        <w:rPr>
          <w:rFonts w:ascii="Arial" w:hAnsi="Arial" w:cs="Arial"/>
          <w:sz w:val="24"/>
          <w:szCs w:val="24"/>
        </w:rPr>
        <w:t xml:space="preserve"> e molti altri. </w:t>
      </w:r>
      <w:r w:rsidR="00DD46CC">
        <w:rPr>
          <w:rFonts w:ascii="Arial" w:hAnsi="Arial" w:cs="Arial"/>
          <w:sz w:val="24"/>
          <w:szCs w:val="24"/>
        </w:rPr>
        <w:t xml:space="preserve">Le quantità da allocare </w:t>
      </w:r>
      <w:r w:rsidR="00870863">
        <w:rPr>
          <w:rFonts w:ascii="Arial" w:hAnsi="Arial" w:cs="Arial"/>
          <w:sz w:val="24"/>
          <w:szCs w:val="24"/>
        </w:rPr>
        <w:t xml:space="preserve">tra Ministero dell’Ambiente e Regioni e, successivamente, i criteri di ripartizione tra le </w:t>
      </w:r>
      <w:r w:rsidR="00FF59AF">
        <w:rPr>
          <w:rFonts w:ascii="Arial" w:hAnsi="Arial" w:cs="Arial"/>
          <w:sz w:val="24"/>
          <w:szCs w:val="24"/>
        </w:rPr>
        <w:t xml:space="preserve">Regioni stesse dovrebbero essere oggetto di negoziazione per definire dei criteri di allocazione. Una ipotesi è che lo Stato </w:t>
      </w:r>
      <w:r w:rsidR="0060442B">
        <w:rPr>
          <w:rFonts w:ascii="Arial" w:hAnsi="Arial" w:cs="Arial"/>
          <w:sz w:val="24"/>
          <w:szCs w:val="24"/>
        </w:rPr>
        <w:t>continui ad avocare a sé le quote necessarie per coprire gli 11,5 Mton di CO</w:t>
      </w:r>
      <w:r w:rsidR="0060442B" w:rsidRPr="00423453">
        <w:rPr>
          <w:rFonts w:ascii="Arial" w:hAnsi="Arial" w:cs="Arial"/>
          <w:sz w:val="24"/>
          <w:szCs w:val="24"/>
          <w:vertAlign w:val="subscript"/>
        </w:rPr>
        <w:t>2</w:t>
      </w:r>
      <w:r w:rsidR="0060442B">
        <w:rPr>
          <w:rFonts w:ascii="Arial" w:hAnsi="Arial" w:cs="Arial"/>
          <w:sz w:val="24"/>
          <w:szCs w:val="24"/>
        </w:rPr>
        <w:t xml:space="preserve"> del meccanismo di flessibilità dell’ESR</w:t>
      </w:r>
      <w:r w:rsidR="00A94673">
        <w:rPr>
          <w:rFonts w:ascii="Arial" w:hAnsi="Arial" w:cs="Arial"/>
          <w:sz w:val="24"/>
          <w:szCs w:val="24"/>
        </w:rPr>
        <w:t xml:space="preserve"> più un eventuale margine per possibili innalzamenti di questo valore e il resto venga assegnato alle Regioni, che possono poi ripartire queste quantità di CO</w:t>
      </w:r>
      <w:r w:rsidR="00A94673" w:rsidRPr="00423453">
        <w:rPr>
          <w:rFonts w:ascii="Arial" w:hAnsi="Arial" w:cs="Arial"/>
          <w:sz w:val="24"/>
          <w:szCs w:val="24"/>
          <w:vertAlign w:val="subscript"/>
        </w:rPr>
        <w:t>2</w:t>
      </w:r>
      <w:r w:rsidR="00A94673">
        <w:rPr>
          <w:rFonts w:ascii="Arial" w:hAnsi="Arial" w:cs="Arial"/>
          <w:sz w:val="24"/>
          <w:szCs w:val="24"/>
        </w:rPr>
        <w:t xml:space="preserve"> in base alla superficie forestale. </w:t>
      </w:r>
    </w:p>
    <w:p w14:paraId="77C4ADA9" w14:textId="0D8B47CA" w:rsidR="001F0D12" w:rsidRDefault="001F0D12" w:rsidP="00BE55CD">
      <w:pPr>
        <w:pStyle w:val="Corpotesto"/>
        <w:ind w:right="45" w:firstLine="567"/>
        <w:jc w:val="both"/>
        <w:rPr>
          <w:rFonts w:ascii="Arial" w:hAnsi="Arial" w:cs="Arial"/>
          <w:sz w:val="24"/>
          <w:szCs w:val="24"/>
        </w:rPr>
      </w:pPr>
      <w:r>
        <w:rPr>
          <w:rFonts w:ascii="Arial" w:hAnsi="Arial" w:cs="Arial"/>
          <w:sz w:val="24"/>
          <w:szCs w:val="24"/>
        </w:rPr>
        <w:t>Que</w:t>
      </w:r>
      <w:r w:rsidR="00C213D6">
        <w:rPr>
          <w:rFonts w:ascii="Arial" w:hAnsi="Arial" w:cs="Arial"/>
          <w:sz w:val="24"/>
          <w:szCs w:val="24"/>
        </w:rPr>
        <w:t>s</w:t>
      </w:r>
      <w:r>
        <w:rPr>
          <w:rFonts w:ascii="Arial" w:hAnsi="Arial" w:cs="Arial"/>
          <w:sz w:val="24"/>
          <w:szCs w:val="24"/>
        </w:rPr>
        <w:t xml:space="preserve">to però richiede </w:t>
      </w:r>
      <w:r w:rsidR="00D77AA6">
        <w:rPr>
          <w:rFonts w:ascii="Arial" w:hAnsi="Arial" w:cs="Arial"/>
          <w:sz w:val="24"/>
          <w:szCs w:val="24"/>
        </w:rPr>
        <w:t>che si creino due condizioni ben precise</w:t>
      </w:r>
      <w:r w:rsidR="00C213D6">
        <w:rPr>
          <w:rFonts w:ascii="Arial" w:hAnsi="Arial" w:cs="Arial"/>
          <w:sz w:val="24"/>
          <w:szCs w:val="24"/>
        </w:rPr>
        <w:t>:</w:t>
      </w:r>
    </w:p>
    <w:p w14:paraId="334DCF40" w14:textId="4B148CF0" w:rsidR="00C213D6" w:rsidRDefault="00C213D6" w:rsidP="00A15BED">
      <w:pPr>
        <w:pStyle w:val="Corpotesto"/>
        <w:ind w:right="45" w:firstLine="567"/>
        <w:jc w:val="both"/>
        <w:rPr>
          <w:rFonts w:ascii="Arial" w:hAnsi="Arial" w:cs="Arial"/>
          <w:sz w:val="24"/>
          <w:szCs w:val="24"/>
        </w:rPr>
      </w:pPr>
    </w:p>
    <w:p w14:paraId="6E6F9FFD" w14:textId="6D2EBDEE" w:rsidR="00C213D6" w:rsidRDefault="00C213D6" w:rsidP="00A15BED">
      <w:pPr>
        <w:pStyle w:val="Corpotesto"/>
        <w:numPr>
          <w:ilvl w:val="0"/>
          <w:numId w:val="49"/>
        </w:numPr>
        <w:ind w:right="45"/>
        <w:jc w:val="both"/>
        <w:rPr>
          <w:rFonts w:ascii="Arial" w:hAnsi="Arial" w:cs="Arial"/>
          <w:sz w:val="24"/>
          <w:szCs w:val="24"/>
        </w:rPr>
      </w:pPr>
      <w:r>
        <w:rPr>
          <w:rFonts w:ascii="Arial" w:hAnsi="Arial" w:cs="Arial"/>
          <w:sz w:val="24"/>
          <w:szCs w:val="24"/>
        </w:rPr>
        <w:t xml:space="preserve">un atto normativo del Ministero dell’Ambiente che </w:t>
      </w:r>
      <w:r w:rsidR="00911C34">
        <w:rPr>
          <w:rFonts w:ascii="Arial" w:hAnsi="Arial" w:cs="Arial"/>
          <w:sz w:val="24"/>
          <w:szCs w:val="24"/>
        </w:rPr>
        <w:t xml:space="preserve">conferisca la gestione di queste quote alle Regioni </w:t>
      </w:r>
      <w:r w:rsidR="0059388C">
        <w:rPr>
          <w:rFonts w:ascii="Arial" w:hAnsi="Arial" w:cs="Arial"/>
          <w:sz w:val="24"/>
          <w:szCs w:val="24"/>
        </w:rPr>
        <w:t>o che questo possa essere deciso tramite la Conferenza Stato Regioni</w:t>
      </w:r>
      <w:r w:rsidR="004C3D64">
        <w:rPr>
          <w:rStyle w:val="Rimandonotaapidipagina"/>
          <w:rFonts w:ascii="Arial" w:hAnsi="Arial" w:cs="Arial"/>
          <w:sz w:val="24"/>
          <w:szCs w:val="24"/>
        </w:rPr>
        <w:footnoteReference w:id="67"/>
      </w:r>
      <w:r w:rsidR="0059388C">
        <w:rPr>
          <w:rFonts w:ascii="Arial" w:hAnsi="Arial" w:cs="Arial"/>
          <w:sz w:val="24"/>
          <w:szCs w:val="24"/>
        </w:rPr>
        <w:t>;</w:t>
      </w:r>
    </w:p>
    <w:p w14:paraId="49555FEB" w14:textId="54A78325" w:rsidR="0059388C" w:rsidRDefault="0059388C" w:rsidP="00A15BED">
      <w:pPr>
        <w:pStyle w:val="Corpotesto"/>
        <w:numPr>
          <w:ilvl w:val="0"/>
          <w:numId w:val="49"/>
        </w:numPr>
        <w:ind w:right="45"/>
        <w:jc w:val="both"/>
        <w:rPr>
          <w:rFonts w:ascii="Arial" w:hAnsi="Arial" w:cs="Arial"/>
          <w:sz w:val="24"/>
          <w:szCs w:val="24"/>
        </w:rPr>
      </w:pPr>
      <w:r>
        <w:rPr>
          <w:rFonts w:ascii="Arial" w:hAnsi="Arial" w:cs="Arial"/>
          <w:sz w:val="24"/>
          <w:szCs w:val="24"/>
        </w:rPr>
        <w:t xml:space="preserve">La creazione di </w:t>
      </w:r>
      <w:r w:rsidR="00A431F2">
        <w:rPr>
          <w:rFonts w:ascii="Arial" w:hAnsi="Arial" w:cs="Arial"/>
          <w:sz w:val="24"/>
          <w:szCs w:val="24"/>
        </w:rPr>
        <w:t xml:space="preserve">un sistema di gestione dei crediti che sia </w:t>
      </w:r>
      <w:r w:rsidR="00A75E88">
        <w:rPr>
          <w:rFonts w:ascii="Arial" w:hAnsi="Arial" w:cs="Arial"/>
          <w:sz w:val="24"/>
          <w:szCs w:val="24"/>
        </w:rPr>
        <w:t>compatibile con le regole dell’ESR</w:t>
      </w:r>
      <w:r w:rsidR="002A3B3B">
        <w:rPr>
          <w:rFonts w:ascii="Arial" w:hAnsi="Arial" w:cs="Arial"/>
          <w:sz w:val="24"/>
          <w:szCs w:val="24"/>
        </w:rPr>
        <w:t>, con l’Inventario Nazionale dei ga</w:t>
      </w:r>
      <w:r w:rsidR="007533DF">
        <w:rPr>
          <w:rFonts w:ascii="Arial" w:hAnsi="Arial" w:cs="Arial"/>
          <w:sz w:val="24"/>
          <w:szCs w:val="24"/>
        </w:rPr>
        <w:t>s GHG redatto da ISPRA</w:t>
      </w:r>
      <w:r w:rsidR="00A15BED">
        <w:rPr>
          <w:rFonts w:ascii="Arial" w:hAnsi="Arial" w:cs="Arial"/>
          <w:sz w:val="24"/>
          <w:szCs w:val="24"/>
        </w:rPr>
        <w:t xml:space="preserve">. </w:t>
      </w:r>
    </w:p>
    <w:p w14:paraId="395F12FC" w14:textId="0F6820A5" w:rsidR="00A15BED" w:rsidRDefault="00A15BED" w:rsidP="00BE55CD">
      <w:pPr>
        <w:pStyle w:val="Corpotesto"/>
        <w:ind w:right="45" w:firstLine="567"/>
        <w:jc w:val="both"/>
        <w:rPr>
          <w:rFonts w:ascii="Arial" w:hAnsi="Arial" w:cs="Arial"/>
          <w:sz w:val="24"/>
          <w:szCs w:val="24"/>
        </w:rPr>
      </w:pPr>
    </w:p>
    <w:p w14:paraId="28B91E47" w14:textId="52D783BE" w:rsidR="00A15BED" w:rsidRDefault="00A15BED" w:rsidP="00BE55CD">
      <w:pPr>
        <w:pStyle w:val="Corpotesto"/>
        <w:ind w:right="45" w:firstLine="567"/>
        <w:jc w:val="both"/>
        <w:rPr>
          <w:rFonts w:ascii="Arial" w:hAnsi="Arial" w:cs="Arial"/>
          <w:sz w:val="24"/>
          <w:szCs w:val="24"/>
        </w:rPr>
      </w:pPr>
      <w:r>
        <w:rPr>
          <w:rFonts w:ascii="Arial" w:hAnsi="Arial" w:cs="Arial"/>
          <w:sz w:val="24"/>
          <w:szCs w:val="24"/>
        </w:rPr>
        <w:lastRenderedPageBreak/>
        <w:t xml:space="preserve">Più in dettaglio, il punto 2 richiede </w:t>
      </w:r>
      <w:r w:rsidR="004A796A">
        <w:rPr>
          <w:rFonts w:ascii="Arial" w:hAnsi="Arial" w:cs="Arial"/>
          <w:sz w:val="24"/>
          <w:szCs w:val="24"/>
        </w:rPr>
        <w:t>una procedura che sia fondata su questi elementi:</w:t>
      </w:r>
    </w:p>
    <w:p w14:paraId="30E5ECB6" w14:textId="7FB6D00A" w:rsidR="004A796A" w:rsidRDefault="004A796A" w:rsidP="00BE55CD">
      <w:pPr>
        <w:pStyle w:val="Corpotesto"/>
        <w:ind w:right="45" w:firstLine="567"/>
        <w:jc w:val="both"/>
        <w:rPr>
          <w:rFonts w:ascii="Arial" w:hAnsi="Arial" w:cs="Arial"/>
          <w:sz w:val="24"/>
          <w:szCs w:val="24"/>
        </w:rPr>
      </w:pPr>
    </w:p>
    <w:p w14:paraId="23580C3E" w14:textId="53918DDE" w:rsidR="004A796A" w:rsidRDefault="004A796A" w:rsidP="000734BF">
      <w:pPr>
        <w:pStyle w:val="Corpotesto"/>
        <w:numPr>
          <w:ilvl w:val="0"/>
          <w:numId w:val="51"/>
        </w:numPr>
        <w:ind w:right="45"/>
        <w:jc w:val="both"/>
        <w:rPr>
          <w:rFonts w:ascii="Arial" w:hAnsi="Arial" w:cs="Arial"/>
          <w:sz w:val="24"/>
          <w:szCs w:val="24"/>
        </w:rPr>
      </w:pPr>
      <w:r>
        <w:rPr>
          <w:rFonts w:ascii="Arial" w:hAnsi="Arial" w:cs="Arial"/>
          <w:sz w:val="24"/>
          <w:szCs w:val="24"/>
        </w:rPr>
        <w:t xml:space="preserve">la presenza di un Registro </w:t>
      </w:r>
      <w:r w:rsidR="00BB3F26">
        <w:rPr>
          <w:rFonts w:ascii="Arial" w:hAnsi="Arial" w:cs="Arial"/>
          <w:sz w:val="24"/>
          <w:szCs w:val="24"/>
        </w:rPr>
        <w:t>che sia riconosciuto come parte del Registro Nazionale sui gas GHG</w:t>
      </w:r>
      <w:r w:rsidR="00821940">
        <w:rPr>
          <w:rFonts w:ascii="Arial" w:hAnsi="Arial" w:cs="Arial"/>
          <w:sz w:val="24"/>
          <w:szCs w:val="24"/>
        </w:rPr>
        <w:t xml:space="preserve">, con </w:t>
      </w:r>
      <w:r w:rsidR="00A56D1F">
        <w:rPr>
          <w:rFonts w:ascii="Arial" w:hAnsi="Arial" w:cs="Arial"/>
          <w:sz w:val="24"/>
          <w:szCs w:val="24"/>
        </w:rPr>
        <w:t>le stesse regole di contabilizzazione per quanto attiene al settore LULUCF</w:t>
      </w:r>
      <w:r w:rsidR="00186CD2">
        <w:rPr>
          <w:rFonts w:ascii="Arial" w:hAnsi="Arial" w:cs="Arial"/>
          <w:sz w:val="24"/>
          <w:szCs w:val="24"/>
        </w:rPr>
        <w:t>;</w:t>
      </w:r>
    </w:p>
    <w:p w14:paraId="11FC60B5" w14:textId="5164ECB8" w:rsidR="00186CD2" w:rsidRDefault="00186CD2" w:rsidP="000734BF">
      <w:pPr>
        <w:pStyle w:val="Corpotesto"/>
        <w:numPr>
          <w:ilvl w:val="0"/>
          <w:numId w:val="51"/>
        </w:numPr>
        <w:ind w:right="45"/>
        <w:jc w:val="both"/>
        <w:rPr>
          <w:rFonts w:ascii="Arial" w:hAnsi="Arial" w:cs="Arial"/>
          <w:sz w:val="24"/>
          <w:szCs w:val="24"/>
        </w:rPr>
      </w:pPr>
      <w:r>
        <w:rPr>
          <w:rFonts w:ascii="Arial" w:hAnsi="Arial" w:cs="Arial"/>
          <w:sz w:val="24"/>
          <w:szCs w:val="24"/>
        </w:rPr>
        <w:t>La valutazione delle emissioni e degli assorbimenti a livello della singola particella di territorio</w:t>
      </w:r>
      <w:r w:rsidR="00A36789">
        <w:rPr>
          <w:rFonts w:ascii="Arial" w:hAnsi="Arial" w:cs="Arial"/>
          <w:sz w:val="24"/>
          <w:szCs w:val="24"/>
        </w:rPr>
        <w:t xml:space="preserve"> e la metodologia di valutazione deve essere in linea con la metodologia applicata a livello nazionale e</w:t>
      </w:r>
      <w:r w:rsidR="00C32B0A">
        <w:rPr>
          <w:rFonts w:ascii="Arial" w:hAnsi="Arial" w:cs="Arial"/>
          <w:sz w:val="24"/>
          <w:szCs w:val="24"/>
        </w:rPr>
        <w:t xml:space="preserve">, naturalmente, con un </w:t>
      </w:r>
      <w:proofErr w:type="spellStart"/>
      <w:r w:rsidR="00C32B0A">
        <w:rPr>
          <w:rFonts w:ascii="Arial" w:hAnsi="Arial" w:cs="Arial"/>
          <w:sz w:val="24"/>
          <w:szCs w:val="24"/>
        </w:rPr>
        <w:t>tier</w:t>
      </w:r>
      <w:proofErr w:type="spellEnd"/>
      <w:r w:rsidR="003B6FD2">
        <w:rPr>
          <w:rFonts w:ascii="Arial" w:hAnsi="Arial" w:cs="Arial"/>
          <w:sz w:val="24"/>
          <w:szCs w:val="24"/>
        </w:rPr>
        <w:t xml:space="preserve"> IPCC</w:t>
      </w:r>
      <w:r w:rsidR="00C32B0A">
        <w:rPr>
          <w:rFonts w:ascii="Arial" w:hAnsi="Arial" w:cs="Arial"/>
          <w:sz w:val="24"/>
          <w:szCs w:val="24"/>
        </w:rPr>
        <w:t xml:space="preserve"> almeno </w:t>
      </w:r>
      <w:r w:rsidR="003B6FD2">
        <w:rPr>
          <w:rFonts w:ascii="Arial" w:hAnsi="Arial" w:cs="Arial"/>
          <w:sz w:val="24"/>
          <w:szCs w:val="24"/>
        </w:rPr>
        <w:t>di livello II</w:t>
      </w:r>
      <w:r w:rsidR="00701207">
        <w:rPr>
          <w:rFonts w:ascii="Arial" w:hAnsi="Arial" w:cs="Arial"/>
          <w:sz w:val="24"/>
          <w:szCs w:val="24"/>
        </w:rPr>
        <w:t xml:space="preserve"> (ma è preferibile che sia di livello III);</w:t>
      </w:r>
    </w:p>
    <w:p w14:paraId="2DFA3C15" w14:textId="77777777" w:rsidR="0092602F" w:rsidRDefault="0030384D" w:rsidP="000734BF">
      <w:pPr>
        <w:pStyle w:val="Corpotesto"/>
        <w:numPr>
          <w:ilvl w:val="0"/>
          <w:numId w:val="51"/>
        </w:numPr>
        <w:ind w:right="45"/>
        <w:jc w:val="both"/>
        <w:rPr>
          <w:rFonts w:ascii="Arial" w:hAnsi="Arial" w:cs="Arial"/>
          <w:sz w:val="24"/>
          <w:szCs w:val="24"/>
        </w:rPr>
      </w:pPr>
      <w:r>
        <w:rPr>
          <w:rFonts w:ascii="Arial" w:hAnsi="Arial" w:cs="Arial"/>
          <w:sz w:val="24"/>
          <w:szCs w:val="24"/>
        </w:rPr>
        <w:t xml:space="preserve">Ci deve essere un meccanismo di revisione e verifica da parte di un organismo esterno, come avviene per </w:t>
      </w:r>
      <w:r w:rsidR="001804BE">
        <w:rPr>
          <w:rFonts w:ascii="Arial" w:hAnsi="Arial" w:cs="Arial"/>
          <w:sz w:val="24"/>
          <w:szCs w:val="24"/>
        </w:rPr>
        <w:t>i NFAP che sono validati dal LULUCIFEG</w:t>
      </w:r>
      <w:r w:rsidR="0092602F">
        <w:rPr>
          <w:rFonts w:ascii="Arial" w:hAnsi="Arial" w:cs="Arial"/>
          <w:sz w:val="24"/>
          <w:szCs w:val="24"/>
        </w:rPr>
        <w:t>;</w:t>
      </w:r>
    </w:p>
    <w:p w14:paraId="35852EE6" w14:textId="4B66B29D" w:rsidR="00701207" w:rsidRDefault="0092602F" w:rsidP="000734BF">
      <w:pPr>
        <w:pStyle w:val="Corpotesto"/>
        <w:numPr>
          <w:ilvl w:val="0"/>
          <w:numId w:val="51"/>
        </w:numPr>
        <w:ind w:right="45"/>
        <w:jc w:val="both"/>
        <w:rPr>
          <w:rFonts w:ascii="Arial" w:hAnsi="Arial" w:cs="Arial"/>
          <w:sz w:val="24"/>
          <w:szCs w:val="24"/>
        </w:rPr>
      </w:pPr>
      <w:r>
        <w:rPr>
          <w:rFonts w:ascii="Arial" w:hAnsi="Arial" w:cs="Arial"/>
          <w:sz w:val="24"/>
          <w:szCs w:val="24"/>
        </w:rPr>
        <w:t>È auspicabile che sia compatibile con il CDM</w:t>
      </w:r>
      <w:r w:rsidR="00537289">
        <w:rPr>
          <w:rFonts w:ascii="Arial" w:hAnsi="Arial" w:cs="Arial"/>
          <w:sz w:val="24"/>
          <w:szCs w:val="24"/>
        </w:rPr>
        <w:t xml:space="preserve"> perché renderebbe </w:t>
      </w:r>
      <w:r w:rsidR="00880774">
        <w:rPr>
          <w:rFonts w:ascii="Arial" w:hAnsi="Arial" w:cs="Arial"/>
          <w:sz w:val="24"/>
          <w:szCs w:val="24"/>
        </w:rPr>
        <w:t>possibile il riconoscimento reciproco</w:t>
      </w:r>
      <w:r w:rsidR="00537289">
        <w:rPr>
          <w:rFonts w:ascii="Arial" w:hAnsi="Arial" w:cs="Arial"/>
          <w:sz w:val="24"/>
          <w:szCs w:val="24"/>
        </w:rPr>
        <w:t xml:space="preserve">, perlomeno in linea di principio, con </w:t>
      </w:r>
      <w:r w:rsidR="006D6B5B">
        <w:rPr>
          <w:rFonts w:ascii="Arial" w:hAnsi="Arial" w:cs="Arial"/>
          <w:sz w:val="24"/>
          <w:szCs w:val="24"/>
        </w:rPr>
        <w:t xml:space="preserve">i sistemi di certificazione </w:t>
      </w:r>
      <w:r w:rsidR="002C02B0">
        <w:rPr>
          <w:rFonts w:ascii="Arial" w:hAnsi="Arial" w:cs="Arial"/>
          <w:sz w:val="24"/>
          <w:szCs w:val="24"/>
        </w:rPr>
        <w:t>dei crediti volontari, co</w:t>
      </w:r>
      <w:r w:rsidR="008C4092">
        <w:rPr>
          <w:rFonts w:ascii="Arial" w:hAnsi="Arial" w:cs="Arial"/>
          <w:sz w:val="24"/>
          <w:szCs w:val="24"/>
        </w:rPr>
        <w:t xml:space="preserve">me il Gold Standard, VCS – </w:t>
      </w:r>
      <w:proofErr w:type="spellStart"/>
      <w:r w:rsidR="008C4092">
        <w:rPr>
          <w:rFonts w:ascii="Arial" w:hAnsi="Arial" w:cs="Arial"/>
          <w:sz w:val="24"/>
          <w:szCs w:val="24"/>
        </w:rPr>
        <w:t>Verra</w:t>
      </w:r>
      <w:proofErr w:type="spellEnd"/>
      <w:r w:rsidR="008C4092">
        <w:rPr>
          <w:rFonts w:ascii="Arial" w:hAnsi="Arial" w:cs="Arial"/>
          <w:sz w:val="24"/>
          <w:szCs w:val="24"/>
        </w:rPr>
        <w:t xml:space="preserve">, </w:t>
      </w:r>
      <w:proofErr w:type="spellStart"/>
      <w:r w:rsidR="008C4092">
        <w:rPr>
          <w:rFonts w:ascii="Arial" w:hAnsi="Arial" w:cs="Arial"/>
          <w:sz w:val="24"/>
          <w:szCs w:val="24"/>
        </w:rPr>
        <w:t>Planvivo</w:t>
      </w:r>
      <w:proofErr w:type="spellEnd"/>
      <w:r w:rsidR="008C4092">
        <w:rPr>
          <w:rFonts w:ascii="Arial" w:hAnsi="Arial" w:cs="Arial"/>
          <w:sz w:val="24"/>
          <w:szCs w:val="24"/>
        </w:rPr>
        <w:t>, ma anche con progetti di riduzione che emettono crediti CER ed ERU</w:t>
      </w:r>
      <w:r w:rsidR="001804BE">
        <w:rPr>
          <w:rFonts w:ascii="Arial" w:hAnsi="Arial" w:cs="Arial"/>
          <w:sz w:val="24"/>
          <w:szCs w:val="24"/>
        </w:rPr>
        <w:t xml:space="preserve">. </w:t>
      </w:r>
    </w:p>
    <w:p w14:paraId="42FEDFAC" w14:textId="40AD9038" w:rsidR="002800D4" w:rsidRDefault="002800D4" w:rsidP="00AF05A7">
      <w:pPr>
        <w:pStyle w:val="Corpotesto"/>
        <w:ind w:right="45"/>
        <w:jc w:val="both"/>
        <w:rPr>
          <w:rFonts w:ascii="Arial" w:hAnsi="Arial" w:cs="Arial"/>
          <w:sz w:val="24"/>
          <w:szCs w:val="24"/>
        </w:rPr>
      </w:pPr>
    </w:p>
    <w:p w14:paraId="5D829453" w14:textId="08140B37" w:rsidR="000734BF" w:rsidRDefault="00270D68" w:rsidP="00D301FF">
      <w:pPr>
        <w:pStyle w:val="Corpotesto"/>
        <w:ind w:right="45" w:firstLine="567"/>
        <w:jc w:val="both"/>
        <w:rPr>
          <w:rFonts w:ascii="Arial" w:hAnsi="Arial" w:cs="Arial"/>
          <w:sz w:val="24"/>
          <w:szCs w:val="24"/>
        </w:rPr>
      </w:pPr>
      <w:r>
        <w:rPr>
          <w:rFonts w:ascii="Arial" w:hAnsi="Arial" w:cs="Arial"/>
          <w:sz w:val="24"/>
          <w:szCs w:val="24"/>
        </w:rPr>
        <w:t>Dal pu</w:t>
      </w:r>
      <w:r w:rsidR="00E15FB4">
        <w:rPr>
          <w:rFonts w:ascii="Arial" w:hAnsi="Arial" w:cs="Arial"/>
          <w:sz w:val="24"/>
          <w:szCs w:val="24"/>
        </w:rPr>
        <w:t>n</w:t>
      </w:r>
      <w:r>
        <w:rPr>
          <w:rFonts w:ascii="Arial" w:hAnsi="Arial" w:cs="Arial"/>
          <w:sz w:val="24"/>
          <w:szCs w:val="24"/>
        </w:rPr>
        <w:t xml:space="preserve">to di vista metodologico, </w:t>
      </w:r>
      <w:r w:rsidR="00776ACA">
        <w:rPr>
          <w:rFonts w:ascii="Arial" w:hAnsi="Arial" w:cs="Arial"/>
          <w:sz w:val="24"/>
          <w:szCs w:val="24"/>
        </w:rPr>
        <w:t xml:space="preserve">questo implica che nella valutazione delle condizioni di addizionalità </w:t>
      </w:r>
      <w:r w:rsidR="00E15FB4">
        <w:rPr>
          <w:rFonts w:ascii="Arial" w:hAnsi="Arial" w:cs="Arial"/>
          <w:sz w:val="24"/>
          <w:szCs w:val="24"/>
        </w:rPr>
        <w:t xml:space="preserve">il BAU deve </w:t>
      </w:r>
      <w:r w:rsidR="0077208F">
        <w:rPr>
          <w:rFonts w:ascii="Arial" w:hAnsi="Arial" w:cs="Arial"/>
          <w:sz w:val="24"/>
          <w:szCs w:val="24"/>
        </w:rPr>
        <w:t>tenere in considerazio</w:t>
      </w:r>
      <w:r w:rsidR="00A0347B">
        <w:rPr>
          <w:rFonts w:ascii="Arial" w:hAnsi="Arial" w:cs="Arial"/>
          <w:sz w:val="24"/>
          <w:szCs w:val="24"/>
        </w:rPr>
        <w:t xml:space="preserve">ne anche il </w:t>
      </w:r>
      <w:r w:rsidR="00E15FB4">
        <w:rPr>
          <w:rFonts w:ascii="Arial" w:hAnsi="Arial" w:cs="Arial"/>
          <w:sz w:val="24"/>
          <w:szCs w:val="24"/>
        </w:rPr>
        <w:t>FRL calcolato a livello Provinciale</w:t>
      </w:r>
      <w:r w:rsidR="00680548">
        <w:rPr>
          <w:rStyle w:val="Rimandonotaapidipagina"/>
          <w:rFonts w:ascii="Arial" w:hAnsi="Arial" w:cs="Arial"/>
          <w:sz w:val="24"/>
          <w:szCs w:val="24"/>
        </w:rPr>
        <w:footnoteReference w:id="68"/>
      </w:r>
      <w:r w:rsidR="00464E3A">
        <w:rPr>
          <w:rFonts w:ascii="Arial" w:hAnsi="Arial" w:cs="Arial"/>
          <w:sz w:val="24"/>
          <w:szCs w:val="24"/>
        </w:rPr>
        <w:t>, ma tenendo conto delle criticità</w:t>
      </w:r>
      <w:r w:rsidR="00EB50BC">
        <w:rPr>
          <w:rFonts w:ascii="Arial" w:hAnsi="Arial" w:cs="Arial"/>
          <w:sz w:val="24"/>
          <w:szCs w:val="24"/>
        </w:rPr>
        <w:t xml:space="preserve"> già espresse in precedenza</w:t>
      </w:r>
      <w:r w:rsidR="00716E04">
        <w:rPr>
          <w:rFonts w:ascii="Arial" w:hAnsi="Arial" w:cs="Arial"/>
          <w:sz w:val="24"/>
          <w:szCs w:val="24"/>
        </w:rPr>
        <w:t xml:space="preserve">, ovvero che </w:t>
      </w:r>
      <w:r w:rsidR="00AF0C9E">
        <w:rPr>
          <w:rFonts w:ascii="Arial" w:hAnsi="Arial" w:cs="Arial"/>
          <w:sz w:val="24"/>
          <w:szCs w:val="24"/>
        </w:rPr>
        <w:t xml:space="preserve">a) </w:t>
      </w:r>
      <w:r w:rsidR="007D74A0">
        <w:rPr>
          <w:rFonts w:ascii="Arial" w:hAnsi="Arial" w:cs="Arial"/>
          <w:sz w:val="24"/>
          <w:szCs w:val="24"/>
        </w:rPr>
        <w:t>parte dall’approccio che tutt</w:t>
      </w:r>
      <w:r w:rsidR="00AF0C9E">
        <w:rPr>
          <w:rFonts w:ascii="Arial" w:hAnsi="Arial" w:cs="Arial"/>
          <w:sz w:val="24"/>
          <w:szCs w:val="24"/>
        </w:rPr>
        <w:t xml:space="preserve">e le foreste italiane siano gestite; </w:t>
      </w:r>
      <w:r w:rsidR="00160C2E">
        <w:rPr>
          <w:rFonts w:ascii="Arial" w:hAnsi="Arial" w:cs="Arial"/>
          <w:sz w:val="24"/>
          <w:szCs w:val="24"/>
        </w:rPr>
        <w:t>b)</w:t>
      </w:r>
      <w:r w:rsidR="003B1EA7">
        <w:rPr>
          <w:rFonts w:ascii="Arial" w:hAnsi="Arial" w:cs="Arial"/>
          <w:sz w:val="24"/>
          <w:szCs w:val="24"/>
        </w:rPr>
        <w:t xml:space="preserve"> occorre considerare che vi possono essere eventi naturali o schianti che </w:t>
      </w:r>
      <w:r w:rsidR="00397566">
        <w:rPr>
          <w:rFonts w:ascii="Arial" w:hAnsi="Arial" w:cs="Arial"/>
          <w:sz w:val="24"/>
          <w:szCs w:val="24"/>
        </w:rPr>
        <w:t xml:space="preserve">vanno oltre la media ordinaria e c) </w:t>
      </w:r>
      <w:r w:rsidR="00765582">
        <w:rPr>
          <w:rFonts w:ascii="Arial" w:hAnsi="Arial" w:cs="Arial"/>
          <w:sz w:val="24"/>
          <w:szCs w:val="24"/>
        </w:rPr>
        <w:t>si assume che superficie forestale gestit</w:t>
      </w:r>
      <w:r w:rsidR="0069771E">
        <w:rPr>
          <w:rFonts w:ascii="Arial" w:hAnsi="Arial" w:cs="Arial"/>
          <w:sz w:val="24"/>
          <w:szCs w:val="24"/>
        </w:rPr>
        <w:t>a sia costante, mentre è in crescita</w:t>
      </w:r>
      <w:r w:rsidR="00A0347B">
        <w:rPr>
          <w:rFonts w:ascii="Arial" w:hAnsi="Arial" w:cs="Arial"/>
          <w:sz w:val="24"/>
          <w:szCs w:val="24"/>
        </w:rPr>
        <w:t>.</w:t>
      </w:r>
      <w:r w:rsidR="00C04C07">
        <w:rPr>
          <w:rFonts w:ascii="Arial" w:hAnsi="Arial" w:cs="Arial"/>
          <w:sz w:val="24"/>
          <w:szCs w:val="24"/>
        </w:rPr>
        <w:t xml:space="preserve"> Pertanto, per </w:t>
      </w:r>
      <w:r w:rsidR="009F6AD2">
        <w:rPr>
          <w:rFonts w:ascii="Arial" w:hAnsi="Arial" w:cs="Arial"/>
          <w:sz w:val="24"/>
          <w:szCs w:val="24"/>
        </w:rPr>
        <w:t>ipotizzare</w:t>
      </w:r>
      <w:r w:rsidR="00A0347B">
        <w:rPr>
          <w:rFonts w:ascii="Arial" w:hAnsi="Arial" w:cs="Arial"/>
          <w:sz w:val="24"/>
          <w:szCs w:val="24"/>
        </w:rPr>
        <w:t xml:space="preserve"> che</w:t>
      </w:r>
      <w:r w:rsidR="00C04C07">
        <w:rPr>
          <w:rFonts w:ascii="Arial" w:hAnsi="Arial" w:cs="Arial"/>
          <w:sz w:val="24"/>
          <w:szCs w:val="24"/>
        </w:rPr>
        <w:t xml:space="preserve"> </w:t>
      </w:r>
      <w:r w:rsidR="00275204">
        <w:rPr>
          <w:rFonts w:ascii="Arial" w:hAnsi="Arial" w:cs="Arial"/>
          <w:sz w:val="24"/>
          <w:szCs w:val="24"/>
        </w:rPr>
        <w:t xml:space="preserve">l’FRL </w:t>
      </w:r>
      <w:r w:rsidR="00A0347B">
        <w:rPr>
          <w:rFonts w:ascii="Arial" w:hAnsi="Arial" w:cs="Arial"/>
          <w:sz w:val="24"/>
          <w:szCs w:val="24"/>
        </w:rPr>
        <w:t xml:space="preserve">sia incluso </w:t>
      </w:r>
      <w:r w:rsidR="009F6AD2">
        <w:rPr>
          <w:rFonts w:ascii="Arial" w:hAnsi="Arial" w:cs="Arial"/>
          <w:sz w:val="24"/>
          <w:szCs w:val="24"/>
        </w:rPr>
        <w:t>nel</w:t>
      </w:r>
      <w:r w:rsidR="00275204">
        <w:rPr>
          <w:rFonts w:ascii="Arial" w:hAnsi="Arial" w:cs="Arial"/>
          <w:sz w:val="24"/>
          <w:szCs w:val="24"/>
        </w:rPr>
        <w:t xml:space="preserve"> BAU </w:t>
      </w:r>
      <w:r w:rsidR="00F33075">
        <w:rPr>
          <w:rFonts w:ascii="Arial" w:hAnsi="Arial" w:cs="Arial"/>
          <w:sz w:val="24"/>
          <w:szCs w:val="24"/>
        </w:rPr>
        <w:t xml:space="preserve">è necessario definire </w:t>
      </w:r>
      <w:r w:rsidR="00887C08">
        <w:rPr>
          <w:rFonts w:ascii="Arial" w:hAnsi="Arial" w:cs="Arial"/>
          <w:sz w:val="24"/>
          <w:szCs w:val="24"/>
        </w:rPr>
        <w:t xml:space="preserve">con precisione </w:t>
      </w:r>
      <w:r w:rsidR="00561EE0">
        <w:rPr>
          <w:rFonts w:ascii="Arial" w:hAnsi="Arial" w:cs="Arial"/>
          <w:sz w:val="24"/>
          <w:szCs w:val="24"/>
        </w:rPr>
        <w:t>quali assunzioni de</w:t>
      </w:r>
      <w:r w:rsidR="00513456">
        <w:rPr>
          <w:rFonts w:ascii="Arial" w:hAnsi="Arial" w:cs="Arial"/>
          <w:sz w:val="24"/>
          <w:szCs w:val="24"/>
        </w:rPr>
        <w:t>v</w:t>
      </w:r>
      <w:r w:rsidR="00561EE0">
        <w:rPr>
          <w:rFonts w:ascii="Arial" w:hAnsi="Arial" w:cs="Arial"/>
          <w:sz w:val="24"/>
          <w:szCs w:val="24"/>
        </w:rPr>
        <w:t>ono essere effettuate per limitare o eliminare queste criticit</w:t>
      </w:r>
      <w:r w:rsidR="00513456">
        <w:rPr>
          <w:rFonts w:ascii="Arial" w:hAnsi="Arial" w:cs="Arial"/>
          <w:sz w:val="24"/>
          <w:szCs w:val="24"/>
        </w:rPr>
        <w:t xml:space="preserve">à. </w:t>
      </w:r>
      <w:r w:rsidR="001E04F1">
        <w:rPr>
          <w:rFonts w:ascii="Arial" w:hAnsi="Arial" w:cs="Arial"/>
          <w:sz w:val="24"/>
          <w:szCs w:val="24"/>
        </w:rPr>
        <w:t>Mentre per quanto attiene al modello da applicare per</w:t>
      </w:r>
      <w:r w:rsidR="00863B03">
        <w:rPr>
          <w:rFonts w:ascii="Arial" w:hAnsi="Arial" w:cs="Arial"/>
          <w:sz w:val="24"/>
          <w:szCs w:val="24"/>
        </w:rPr>
        <w:t xml:space="preserve"> la stima del carbon </w:t>
      </w:r>
      <w:proofErr w:type="spellStart"/>
      <w:r w:rsidR="00863B03">
        <w:rPr>
          <w:rFonts w:ascii="Arial" w:hAnsi="Arial" w:cs="Arial"/>
          <w:sz w:val="24"/>
          <w:szCs w:val="24"/>
        </w:rPr>
        <w:t>sink</w:t>
      </w:r>
      <w:proofErr w:type="spellEnd"/>
      <w:r w:rsidR="00863B03">
        <w:rPr>
          <w:rFonts w:ascii="Arial" w:hAnsi="Arial" w:cs="Arial"/>
          <w:sz w:val="24"/>
          <w:szCs w:val="24"/>
        </w:rPr>
        <w:t xml:space="preserve"> e del carbon stock, </w:t>
      </w:r>
      <w:r w:rsidR="00473994">
        <w:rPr>
          <w:rFonts w:ascii="Arial" w:hAnsi="Arial" w:cs="Arial"/>
          <w:sz w:val="24"/>
          <w:szCs w:val="24"/>
        </w:rPr>
        <w:t xml:space="preserve">la soluzione migliore è quella di considerare due modelli: </w:t>
      </w:r>
    </w:p>
    <w:p w14:paraId="3BB092ED" w14:textId="00016DA3" w:rsidR="00473994" w:rsidRDefault="00473994" w:rsidP="00AF05A7">
      <w:pPr>
        <w:pStyle w:val="Corpotesto"/>
        <w:ind w:right="45"/>
        <w:jc w:val="both"/>
        <w:rPr>
          <w:rFonts w:ascii="Arial" w:hAnsi="Arial" w:cs="Arial"/>
          <w:sz w:val="24"/>
          <w:szCs w:val="24"/>
        </w:rPr>
      </w:pPr>
    </w:p>
    <w:p w14:paraId="51D7AA08" w14:textId="7E9A1BC0" w:rsidR="00473994" w:rsidRDefault="00473994" w:rsidP="004F5B2D">
      <w:pPr>
        <w:pStyle w:val="Corpotesto"/>
        <w:numPr>
          <w:ilvl w:val="0"/>
          <w:numId w:val="52"/>
        </w:numPr>
        <w:ind w:right="45"/>
        <w:jc w:val="both"/>
        <w:rPr>
          <w:rFonts w:ascii="Arial" w:hAnsi="Arial" w:cs="Arial"/>
          <w:sz w:val="24"/>
          <w:szCs w:val="24"/>
        </w:rPr>
      </w:pPr>
      <w:r>
        <w:rPr>
          <w:rFonts w:ascii="Arial" w:hAnsi="Arial" w:cs="Arial"/>
          <w:sz w:val="24"/>
          <w:szCs w:val="24"/>
        </w:rPr>
        <w:t xml:space="preserve">il Carbon Budget Model associato ai modelli </w:t>
      </w:r>
      <w:proofErr w:type="spellStart"/>
      <w:r>
        <w:rPr>
          <w:rFonts w:ascii="Arial" w:hAnsi="Arial" w:cs="Arial"/>
          <w:sz w:val="24"/>
          <w:szCs w:val="24"/>
        </w:rPr>
        <w:t>Behave</w:t>
      </w:r>
      <w:proofErr w:type="spellEnd"/>
      <w:r>
        <w:rPr>
          <w:rFonts w:ascii="Arial" w:hAnsi="Arial" w:cs="Arial"/>
          <w:sz w:val="24"/>
          <w:szCs w:val="24"/>
        </w:rPr>
        <w:t xml:space="preserve">, </w:t>
      </w:r>
      <w:proofErr w:type="spellStart"/>
      <w:r>
        <w:rPr>
          <w:rFonts w:ascii="Arial" w:hAnsi="Arial" w:cs="Arial"/>
          <w:sz w:val="24"/>
          <w:szCs w:val="24"/>
        </w:rPr>
        <w:t>Flammap</w:t>
      </w:r>
      <w:proofErr w:type="spellEnd"/>
      <w:r>
        <w:rPr>
          <w:rFonts w:ascii="Arial" w:hAnsi="Arial" w:cs="Arial"/>
          <w:sz w:val="24"/>
          <w:szCs w:val="24"/>
        </w:rPr>
        <w:t xml:space="preserve"> e </w:t>
      </w:r>
      <w:proofErr w:type="spellStart"/>
      <w:r>
        <w:rPr>
          <w:rFonts w:ascii="Arial" w:hAnsi="Arial" w:cs="Arial"/>
          <w:sz w:val="24"/>
          <w:szCs w:val="24"/>
        </w:rPr>
        <w:t>Forest</w:t>
      </w:r>
      <w:proofErr w:type="spellEnd"/>
      <w:r>
        <w:rPr>
          <w:rFonts w:ascii="Arial" w:hAnsi="Arial" w:cs="Arial"/>
          <w:sz w:val="24"/>
          <w:szCs w:val="24"/>
        </w:rPr>
        <w:t xml:space="preserve"> </w:t>
      </w:r>
      <w:proofErr w:type="spellStart"/>
      <w:r>
        <w:rPr>
          <w:rFonts w:ascii="Arial" w:hAnsi="Arial" w:cs="Arial"/>
          <w:sz w:val="24"/>
          <w:szCs w:val="24"/>
        </w:rPr>
        <w:t>Gales</w:t>
      </w:r>
      <w:proofErr w:type="spellEnd"/>
      <w:r w:rsidR="003E601C">
        <w:rPr>
          <w:rFonts w:ascii="Arial" w:hAnsi="Arial" w:cs="Arial"/>
          <w:sz w:val="24"/>
          <w:szCs w:val="24"/>
        </w:rPr>
        <w:t>;</w:t>
      </w:r>
    </w:p>
    <w:p w14:paraId="79277EC5" w14:textId="37D59D2E" w:rsidR="003E601C" w:rsidRDefault="003E601C" w:rsidP="004F5B2D">
      <w:pPr>
        <w:pStyle w:val="Corpotesto"/>
        <w:numPr>
          <w:ilvl w:val="0"/>
          <w:numId w:val="52"/>
        </w:numPr>
        <w:ind w:right="45"/>
        <w:jc w:val="both"/>
        <w:rPr>
          <w:rFonts w:ascii="Arial" w:hAnsi="Arial" w:cs="Arial"/>
          <w:sz w:val="24"/>
          <w:szCs w:val="24"/>
        </w:rPr>
      </w:pPr>
      <w:r>
        <w:rPr>
          <w:rFonts w:ascii="Arial" w:hAnsi="Arial" w:cs="Arial"/>
          <w:sz w:val="24"/>
          <w:szCs w:val="24"/>
        </w:rPr>
        <w:t>il modello For-Est scelto da ISPRA, che si basa sull’inventario forestale nazionale.</w:t>
      </w:r>
    </w:p>
    <w:p w14:paraId="59ADF37F" w14:textId="18FBBF9C" w:rsidR="005C16C5" w:rsidRDefault="005C16C5" w:rsidP="00BE55CD">
      <w:pPr>
        <w:pStyle w:val="Corpotesto"/>
        <w:ind w:right="45" w:firstLine="567"/>
        <w:jc w:val="both"/>
        <w:rPr>
          <w:rFonts w:ascii="Arial" w:hAnsi="Arial" w:cs="Arial"/>
          <w:sz w:val="24"/>
          <w:szCs w:val="24"/>
        </w:rPr>
      </w:pPr>
    </w:p>
    <w:p w14:paraId="0CF28B9B" w14:textId="59F2A3D3" w:rsidR="003E601C" w:rsidRDefault="003E601C" w:rsidP="00BE55CD">
      <w:pPr>
        <w:pStyle w:val="Corpotesto"/>
        <w:ind w:right="45" w:firstLine="567"/>
        <w:jc w:val="both"/>
        <w:rPr>
          <w:rFonts w:ascii="Arial" w:hAnsi="Arial" w:cs="Arial"/>
          <w:sz w:val="24"/>
          <w:szCs w:val="24"/>
        </w:rPr>
      </w:pPr>
      <w:r>
        <w:rPr>
          <w:rFonts w:ascii="Arial" w:hAnsi="Arial" w:cs="Arial"/>
          <w:sz w:val="24"/>
          <w:szCs w:val="24"/>
        </w:rPr>
        <w:t xml:space="preserve">L’uso di un valore medio tra i risultati di stima di questi due modelli rende </w:t>
      </w:r>
      <w:r w:rsidR="004F5B2D">
        <w:rPr>
          <w:rFonts w:ascii="Arial" w:hAnsi="Arial" w:cs="Arial"/>
          <w:sz w:val="24"/>
          <w:szCs w:val="24"/>
        </w:rPr>
        <w:t xml:space="preserve">il sistema di analisi robusto e credibile, anche se è da valutare quanto questa applicazione possa essere complessa da applicare in aree dove vi è assenza di Piani di Assestamento. </w:t>
      </w:r>
    </w:p>
    <w:p w14:paraId="7FE8DD79" w14:textId="4BB83733" w:rsidR="007A5630" w:rsidRDefault="007A5630" w:rsidP="00BE55CD">
      <w:pPr>
        <w:pStyle w:val="Corpotesto"/>
        <w:ind w:right="45" w:firstLine="567"/>
        <w:jc w:val="both"/>
        <w:rPr>
          <w:rFonts w:ascii="Arial" w:hAnsi="Arial" w:cs="Arial"/>
          <w:sz w:val="24"/>
          <w:szCs w:val="24"/>
        </w:rPr>
      </w:pPr>
      <w:r>
        <w:rPr>
          <w:rFonts w:ascii="Arial" w:hAnsi="Arial" w:cs="Arial"/>
          <w:sz w:val="24"/>
          <w:szCs w:val="24"/>
        </w:rPr>
        <w:t>Inoltre</w:t>
      </w:r>
      <w:r w:rsidR="003808D1">
        <w:rPr>
          <w:rFonts w:ascii="Arial" w:hAnsi="Arial" w:cs="Arial"/>
          <w:sz w:val="24"/>
          <w:szCs w:val="24"/>
        </w:rPr>
        <w:t>,</w:t>
      </w:r>
      <w:r>
        <w:rPr>
          <w:rFonts w:ascii="Arial" w:hAnsi="Arial" w:cs="Arial"/>
          <w:sz w:val="24"/>
          <w:szCs w:val="24"/>
        </w:rPr>
        <w:t xml:space="preserve"> è </w:t>
      </w:r>
      <w:r w:rsidR="0009006F">
        <w:rPr>
          <w:rFonts w:ascii="Arial" w:hAnsi="Arial" w:cs="Arial"/>
          <w:sz w:val="24"/>
          <w:szCs w:val="24"/>
        </w:rPr>
        <w:t>necessario valutare l’effetto sulla misurazione dell’assunzione fatta da ISPRA che tutto</w:t>
      </w:r>
      <w:r w:rsidR="00F03DD8">
        <w:rPr>
          <w:rFonts w:ascii="Arial" w:hAnsi="Arial" w:cs="Arial"/>
          <w:sz w:val="24"/>
          <w:szCs w:val="24"/>
        </w:rPr>
        <w:t xml:space="preserve"> il territorio forestale è sottoposto a gestione forestale, quando invece </w:t>
      </w:r>
      <w:r w:rsidR="00A6213A">
        <w:rPr>
          <w:rFonts w:ascii="Arial" w:hAnsi="Arial" w:cs="Arial"/>
          <w:sz w:val="24"/>
          <w:szCs w:val="24"/>
        </w:rPr>
        <w:t>c’è un</w:t>
      </w:r>
      <w:r w:rsidR="003808D1">
        <w:rPr>
          <w:rFonts w:ascii="Arial" w:hAnsi="Arial" w:cs="Arial"/>
          <w:sz w:val="24"/>
          <w:szCs w:val="24"/>
        </w:rPr>
        <w:t>’</w:t>
      </w:r>
      <w:r w:rsidR="00A6213A">
        <w:rPr>
          <w:rFonts w:ascii="Arial" w:hAnsi="Arial" w:cs="Arial"/>
          <w:sz w:val="24"/>
          <w:szCs w:val="24"/>
        </w:rPr>
        <w:t xml:space="preserve">ampia parte delle foreste che non ha neppure un Piano di indirizzo. </w:t>
      </w:r>
      <w:r w:rsidR="003808D1">
        <w:rPr>
          <w:rFonts w:ascii="Arial" w:hAnsi="Arial" w:cs="Arial"/>
          <w:sz w:val="24"/>
          <w:szCs w:val="24"/>
        </w:rPr>
        <w:t xml:space="preserve">Sempre con riguardo a questo aspetto, </w:t>
      </w:r>
      <w:r w:rsidR="002C606C">
        <w:rPr>
          <w:rFonts w:ascii="Arial" w:hAnsi="Arial" w:cs="Arial"/>
          <w:sz w:val="24"/>
          <w:szCs w:val="24"/>
        </w:rPr>
        <w:t xml:space="preserve">è da considerare se l’assunzione fatta per il calcolo del FRL nel NFAP </w:t>
      </w:r>
      <w:r w:rsidR="0050537D">
        <w:rPr>
          <w:rFonts w:ascii="Arial" w:hAnsi="Arial" w:cs="Arial"/>
          <w:sz w:val="24"/>
          <w:szCs w:val="24"/>
        </w:rPr>
        <w:t xml:space="preserve">che il prelievo di legno salirà nel prossimo decennio dal 33% al 40-45 % possa </w:t>
      </w:r>
      <w:r w:rsidR="00227308">
        <w:rPr>
          <w:rFonts w:ascii="Arial" w:hAnsi="Arial" w:cs="Arial"/>
          <w:sz w:val="24"/>
          <w:szCs w:val="24"/>
        </w:rPr>
        <w:t>presentare qualche elemento di criticità per i territori s</w:t>
      </w:r>
      <w:r w:rsidR="00AF4F36">
        <w:rPr>
          <w:rFonts w:ascii="Arial" w:hAnsi="Arial" w:cs="Arial"/>
          <w:sz w:val="24"/>
          <w:szCs w:val="24"/>
        </w:rPr>
        <w:t xml:space="preserve">elezionati nell’ambito del Progetto, ovvero le </w:t>
      </w:r>
      <w:proofErr w:type="spellStart"/>
      <w:r w:rsidR="00AF4F36">
        <w:rPr>
          <w:rFonts w:ascii="Arial" w:hAnsi="Arial" w:cs="Arial"/>
          <w:sz w:val="24"/>
          <w:szCs w:val="24"/>
        </w:rPr>
        <w:t>Comunalie</w:t>
      </w:r>
      <w:proofErr w:type="spellEnd"/>
      <w:r w:rsidR="00AF4F36">
        <w:rPr>
          <w:rFonts w:ascii="Arial" w:hAnsi="Arial" w:cs="Arial"/>
          <w:sz w:val="24"/>
          <w:szCs w:val="24"/>
        </w:rPr>
        <w:t xml:space="preserve"> Parmensi, il Demanio Forestale Forlivese e l’Area di Fusine. </w:t>
      </w:r>
    </w:p>
    <w:p w14:paraId="752A72C5" w14:textId="71B5E9C1" w:rsidR="007D749F" w:rsidRDefault="007D749F" w:rsidP="00BE55CD">
      <w:pPr>
        <w:pStyle w:val="Corpotesto"/>
        <w:ind w:right="45" w:firstLine="567"/>
        <w:jc w:val="both"/>
        <w:rPr>
          <w:rFonts w:ascii="Arial" w:hAnsi="Arial" w:cs="Arial"/>
          <w:sz w:val="24"/>
          <w:szCs w:val="24"/>
        </w:rPr>
      </w:pPr>
      <w:r>
        <w:rPr>
          <w:rFonts w:ascii="Arial" w:hAnsi="Arial" w:cs="Arial"/>
          <w:sz w:val="24"/>
          <w:szCs w:val="24"/>
        </w:rPr>
        <w:t>Occorre anche ricordare che il meccanismo CDM non consente l’utilizzo di fondi pubb</w:t>
      </w:r>
      <w:r w:rsidR="00F842B2">
        <w:rPr>
          <w:rFonts w:ascii="Arial" w:hAnsi="Arial" w:cs="Arial"/>
          <w:sz w:val="24"/>
          <w:szCs w:val="24"/>
        </w:rPr>
        <w:t>lici del tipo ODA</w:t>
      </w:r>
      <w:r w:rsidR="00335323">
        <w:rPr>
          <w:rFonts w:ascii="Arial" w:hAnsi="Arial" w:cs="Arial"/>
          <w:sz w:val="24"/>
          <w:szCs w:val="24"/>
        </w:rPr>
        <w:t xml:space="preserve">, ovvero di aiuto allo sviluppo. </w:t>
      </w:r>
      <w:r w:rsidR="005945E7">
        <w:rPr>
          <w:rFonts w:ascii="Arial" w:hAnsi="Arial" w:cs="Arial"/>
          <w:sz w:val="24"/>
          <w:szCs w:val="24"/>
        </w:rPr>
        <w:t xml:space="preserve">Molto spesso </w:t>
      </w:r>
      <w:r w:rsidR="00AB0093">
        <w:rPr>
          <w:rFonts w:ascii="Arial" w:hAnsi="Arial" w:cs="Arial"/>
          <w:sz w:val="24"/>
          <w:szCs w:val="24"/>
        </w:rPr>
        <w:t xml:space="preserve">in Italia le attività di GFS sono finanziate utilizzando </w:t>
      </w:r>
      <w:r w:rsidR="004E7577">
        <w:rPr>
          <w:rFonts w:ascii="Arial" w:hAnsi="Arial" w:cs="Arial"/>
          <w:sz w:val="24"/>
          <w:szCs w:val="24"/>
        </w:rPr>
        <w:t xml:space="preserve">gli strumenti messi a disposizione dal PSR, perché altrimenti il costo </w:t>
      </w:r>
      <w:r w:rsidR="008C5689">
        <w:rPr>
          <w:rFonts w:ascii="Arial" w:hAnsi="Arial" w:cs="Arial"/>
          <w:sz w:val="24"/>
          <w:szCs w:val="24"/>
        </w:rPr>
        <w:t>del</w:t>
      </w:r>
      <w:r w:rsidR="004E7577">
        <w:rPr>
          <w:rFonts w:ascii="Arial" w:hAnsi="Arial" w:cs="Arial"/>
          <w:sz w:val="24"/>
          <w:szCs w:val="24"/>
        </w:rPr>
        <w:t xml:space="preserve">la </w:t>
      </w:r>
      <w:r w:rsidR="00FE2C94">
        <w:rPr>
          <w:rFonts w:ascii="Arial" w:hAnsi="Arial" w:cs="Arial"/>
          <w:sz w:val="24"/>
          <w:szCs w:val="24"/>
        </w:rPr>
        <w:t>GFS sarebbe eccessivamente elevato</w:t>
      </w:r>
      <w:r w:rsidR="005D4026">
        <w:rPr>
          <w:rFonts w:ascii="Arial" w:hAnsi="Arial" w:cs="Arial"/>
          <w:sz w:val="24"/>
          <w:szCs w:val="24"/>
        </w:rPr>
        <w:t xml:space="preserve">. </w:t>
      </w:r>
      <w:r w:rsidR="002A7460">
        <w:rPr>
          <w:rFonts w:ascii="Arial" w:hAnsi="Arial" w:cs="Arial"/>
          <w:sz w:val="24"/>
          <w:szCs w:val="24"/>
        </w:rPr>
        <w:t>È</w:t>
      </w:r>
      <w:r w:rsidR="005D4026">
        <w:rPr>
          <w:rFonts w:ascii="Arial" w:hAnsi="Arial" w:cs="Arial"/>
          <w:sz w:val="24"/>
          <w:szCs w:val="24"/>
        </w:rPr>
        <w:t xml:space="preserve"> evidente che l’uso di Crediti Ecosistemici </w:t>
      </w:r>
      <w:r w:rsidR="0049270D">
        <w:rPr>
          <w:rFonts w:ascii="Arial" w:hAnsi="Arial" w:cs="Arial"/>
          <w:sz w:val="24"/>
          <w:szCs w:val="24"/>
        </w:rPr>
        <w:t xml:space="preserve">crea una fonte di reddito aggiuntiva ma ben difficilmente sarà in grado di escludere i finanziamenti di origine pubblica e quindi </w:t>
      </w:r>
      <w:r w:rsidR="003F338F">
        <w:rPr>
          <w:rFonts w:ascii="Arial" w:hAnsi="Arial" w:cs="Arial"/>
          <w:sz w:val="24"/>
          <w:szCs w:val="24"/>
        </w:rPr>
        <w:t xml:space="preserve">è necessario differenziare molto bene le attività che sono finanziate con i crediti </w:t>
      </w:r>
      <w:r w:rsidR="00654648">
        <w:rPr>
          <w:rFonts w:ascii="Arial" w:hAnsi="Arial" w:cs="Arial"/>
          <w:sz w:val="24"/>
          <w:szCs w:val="24"/>
        </w:rPr>
        <w:t xml:space="preserve">rispetto a quelle che non lo sono, </w:t>
      </w:r>
      <w:r w:rsidR="006A4FBC">
        <w:rPr>
          <w:rFonts w:ascii="Arial" w:hAnsi="Arial" w:cs="Arial"/>
          <w:sz w:val="24"/>
          <w:szCs w:val="24"/>
        </w:rPr>
        <w:t xml:space="preserve">stabilendo procedure di verifica su come i fondi vengono </w:t>
      </w:r>
      <w:r w:rsidR="00884FB1">
        <w:rPr>
          <w:rFonts w:ascii="Arial" w:hAnsi="Arial" w:cs="Arial"/>
          <w:sz w:val="24"/>
          <w:szCs w:val="24"/>
        </w:rPr>
        <w:t xml:space="preserve">utilizzati. </w:t>
      </w:r>
    </w:p>
    <w:p w14:paraId="287CF1D3" w14:textId="6AD57B22" w:rsidR="0028379C" w:rsidRDefault="002A7460" w:rsidP="00BE55CD">
      <w:pPr>
        <w:pStyle w:val="Corpotesto"/>
        <w:ind w:right="45" w:firstLine="567"/>
        <w:jc w:val="both"/>
        <w:rPr>
          <w:rFonts w:ascii="Arial" w:hAnsi="Arial" w:cs="Arial"/>
          <w:sz w:val="24"/>
          <w:szCs w:val="24"/>
        </w:rPr>
      </w:pPr>
      <w:r>
        <w:rPr>
          <w:rFonts w:ascii="Arial" w:hAnsi="Arial" w:cs="Arial"/>
          <w:sz w:val="24"/>
          <w:szCs w:val="24"/>
        </w:rPr>
        <w:lastRenderedPageBreak/>
        <w:t>Esiste</w:t>
      </w:r>
      <w:r w:rsidR="0028379C">
        <w:rPr>
          <w:rFonts w:ascii="Arial" w:hAnsi="Arial" w:cs="Arial"/>
          <w:sz w:val="24"/>
          <w:szCs w:val="24"/>
        </w:rPr>
        <w:t xml:space="preserve"> anche un’altra serie di </w:t>
      </w:r>
      <w:r w:rsidR="00C8272D">
        <w:rPr>
          <w:rFonts w:ascii="Arial" w:hAnsi="Arial" w:cs="Arial"/>
          <w:sz w:val="24"/>
          <w:szCs w:val="24"/>
        </w:rPr>
        <w:t xml:space="preserve">elementi critici, quali la durata dei crediti di sostenibilità confrontata con </w:t>
      </w:r>
      <w:r w:rsidR="00D75110">
        <w:rPr>
          <w:rFonts w:ascii="Arial" w:hAnsi="Arial" w:cs="Arial"/>
          <w:sz w:val="24"/>
          <w:szCs w:val="24"/>
        </w:rPr>
        <w:t>tempi della GFS</w:t>
      </w:r>
      <w:r w:rsidR="0082772C">
        <w:rPr>
          <w:rFonts w:ascii="Arial" w:hAnsi="Arial" w:cs="Arial"/>
          <w:sz w:val="24"/>
          <w:szCs w:val="24"/>
        </w:rPr>
        <w:t>, i criteri di allocazione della CO</w:t>
      </w:r>
      <w:r w:rsidR="0082772C" w:rsidRPr="00423453">
        <w:rPr>
          <w:rFonts w:ascii="Arial" w:hAnsi="Arial" w:cs="Arial"/>
          <w:sz w:val="24"/>
          <w:szCs w:val="24"/>
          <w:vertAlign w:val="subscript"/>
        </w:rPr>
        <w:t>2</w:t>
      </w:r>
      <w:r w:rsidR="0082772C">
        <w:rPr>
          <w:rFonts w:ascii="Arial" w:hAnsi="Arial" w:cs="Arial"/>
          <w:sz w:val="24"/>
          <w:szCs w:val="24"/>
        </w:rPr>
        <w:t xml:space="preserve"> per ettaro, le regole per evitare la doppia contabilità e altre ancora che saranno </w:t>
      </w:r>
      <w:r w:rsidR="0053477D">
        <w:rPr>
          <w:rFonts w:ascii="Arial" w:hAnsi="Arial" w:cs="Arial"/>
          <w:sz w:val="24"/>
          <w:szCs w:val="24"/>
        </w:rPr>
        <w:t xml:space="preserve">approfonditi nell’azione C4. </w:t>
      </w:r>
    </w:p>
    <w:p w14:paraId="30389035" w14:textId="43F7B70D" w:rsidR="006931DF" w:rsidRDefault="00B41FDC" w:rsidP="00BE55CD">
      <w:pPr>
        <w:pStyle w:val="Corpotesto"/>
        <w:ind w:right="45" w:firstLine="567"/>
        <w:jc w:val="both"/>
        <w:rPr>
          <w:rFonts w:ascii="Arial" w:hAnsi="Arial" w:cs="Arial"/>
          <w:sz w:val="24"/>
          <w:szCs w:val="24"/>
        </w:rPr>
      </w:pPr>
      <w:r>
        <w:rPr>
          <w:rFonts w:ascii="Arial" w:hAnsi="Arial" w:cs="Arial"/>
          <w:sz w:val="24"/>
          <w:szCs w:val="24"/>
        </w:rPr>
        <w:t>Infine</w:t>
      </w:r>
      <w:r w:rsidR="00DF1F92">
        <w:rPr>
          <w:rFonts w:ascii="Arial" w:hAnsi="Arial" w:cs="Arial"/>
          <w:sz w:val="24"/>
          <w:szCs w:val="24"/>
        </w:rPr>
        <w:t>,</w:t>
      </w:r>
      <w:r>
        <w:rPr>
          <w:rFonts w:ascii="Arial" w:hAnsi="Arial" w:cs="Arial"/>
          <w:sz w:val="24"/>
          <w:szCs w:val="24"/>
        </w:rPr>
        <w:t xml:space="preserve"> è importante considerare anche l’aspetto economico. </w:t>
      </w:r>
      <w:r w:rsidR="002A7460">
        <w:rPr>
          <w:rFonts w:ascii="Arial" w:hAnsi="Arial" w:cs="Arial"/>
          <w:sz w:val="24"/>
          <w:szCs w:val="24"/>
        </w:rPr>
        <w:t>È</w:t>
      </w:r>
      <w:r w:rsidR="00165C10">
        <w:rPr>
          <w:rFonts w:ascii="Arial" w:hAnsi="Arial" w:cs="Arial"/>
          <w:sz w:val="24"/>
          <w:szCs w:val="24"/>
        </w:rPr>
        <w:t xml:space="preserve"> chiaro che un sistema simile può garantire un certo ritorno economico </w:t>
      </w:r>
      <w:r w:rsidR="005C16CB">
        <w:rPr>
          <w:rFonts w:ascii="Arial" w:hAnsi="Arial" w:cs="Arial"/>
          <w:sz w:val="24"/>
          <w:szCs w:val="24"/>
        </w:rPr>
        <w:t>ai detentori di aree boschive in Italia ma solo se vi è una certa estensione</w:t>
      </w:r>
      <w:r w:rsidR="003A1416">
        <w:rPr>
          <w:rFonts w:ascii="Arial" w:hAnsi="Arial" w:cs="Arial"/>
          <w:sz w:val="24"/>
          <w:szCs w:val="24"/>
        </w:rPr>
        <w:t xml:space="preserve"> e comunque si tratta di importi contenuti</w:t>
      </w:r>
      <w:r w:rsidR="005C16CB">
        <w:rPr>
          <w:rFonts w:ascii="Arial" w:hAnsi="Arial" w:cs="Arial"/>
          <w:sz w:val="24"/>
          <w:szCs w:val="24"/>
        </w:rPr>
        <w:t xml:space="preserve">. </w:t>
      </w:r>
      <w:r w:rsidR="00990E3F">
        <w:rPr>
          <w:rFonts w:ascii="Arial" w:hAnsi="Arial" w:cs="Arial"/>
          <w:sz w:val="24"/>
          <w:szCs w:val="24"/>
        </w:rPr>
        <w:t xml:space="preserve">Per comprenderlo è possibile fare una piccola simulazione: </w:t>
      </w:r>
      <w:r w:rsidR="00A65712">
        <w:rPr>
          <w:rFonts w:ascii="Arial" w:hAnsi="Arial" w:cs="Arial"/>
          <w:sz w:val="24"/>
          <w:szCs w:val="24"/>
        </w:rPr>
        <w:t>si ipotizzi di avere un’este</w:t>
      </w:r>
      <w:r w:rsidR="00A679B1">
        <w:rPr>
          <w:rFonts w:ascii="Arial" w:hAnsi="Arial" w:cs="Arial"/>
          <w:sz w:val="24"/>
          <w:szCs w:val="24"/>
        </w:rPr>
        <w:t>n</w:t>
      </w:r>
      <w:r w:rsidR="00A65712">
        <w:rPr>
          <w:rFonts w:ascii="Arial" w:hAnsi="Arial" w:cs="Arial"/>
          <w:sz w:val="24"/>
          <w:szCs w:val="24"/>
        </w:rPr>
        <w:t xml:space="preserve">sione di </w:t>
      </w:r>
      <w:r w:rsidR="00A679B1">
        <w:rPr>
          <w:rFonts w:ascii="Arial" w:hAnsi="Arial" w:cs="Arial"/>
          <w:sz w:val="24"/>
          <w:szCs w:val="24"/>
        </w:rPr>
        <w:t xml:space="preserve">forestale di 10.000 </w:t>
      </w:r>
      <w:r w:rsidR="002A7460">
        <w:rPr>
          <w:rFonts w:ascii="Arial" w:hAnsi="Arial" w:cs="Arial"/>
          <w:sz w:val="24"/>
          <w:szCs w:val="24"/>
        </w:rPr>
        <w:t>h</w:t>
      </w:r>
      <w:r w:rsidR="00A679B1">
        <w:rPr>
          <w:rFonts w:ascii="Arial" w:hAnsi="Arial" w:cs="Arial"/>
          <w:sz w:val="24"/>
          <w:szCs w:val="24"/>
        </w:rPr>
        <w:t>a</w:t>
      </w:r>
      <w:r w:rsidR="00BB69F4">
        <w:rPr>
          <w:rFonts w:ascii="Arial" w:hAnsi="Arial" w:cs="Arial"/>
          <w:sz w:val="24"/>
          <w:szCs w:val="24"/>
        </w:rPr>
        <w:t xml:space="preserve"> e</w:t>
      </w:r>
      <w:r w:rsidR="00A679B1">
        <w:rPr>
          <w:rFonts w:ascii="Arial" w:hAnsi="Arial" w:cs="Arial"/>
          <w:sz w:val="24"/>
          <w:szCs w:val="24"/>
        </w:rPr>
        <w:t xml:space="preserve"> che con la gestione forestale sostenibile possa ottenere </w:t>
      </w:r>
      <w:r w:rsidR="00BB69F4">
        <w:rPr>
          <w:rFonts w:ascii="Arial" w:hAnsi="Arial" w:cs="Arial"/>
          <w:sz w:val="24"/>
          <w:szCs w:val="24"/>
        </w:rPr>
        <w:t>una ton addizionale di CO</w:t>
      </w:r>
      <w:r w:rsidR="00BB69F4" w:rsidRPr="00423453">
        <w:rPr>
          <w:rFonts w:ascii="Arial" w:hAnsi="Arial" w:cs="Arial"/>
          <w:sz w:val="24"/>
          <w:szCs w:val="24"/>
          <w:vertAlign w:val="subscript"/>
        </w:rPr>
        <w:t>2</w:t>
      </w:r>
      <w:r w:rsidR="00BB69F4">
        <w:rPr>
          <w:rFonts w:ascii="Arial" w:hAnsi="Arial" w:cs="Arial"/>
          <w:sz w:val="24"/>
          <w:szCs w:val="24"/>
        </w:rPr>
        <w:t xml:space="preserve"> per </w:t>
      </w:r>
      <w:r w:rsidR="002A7460">
        <w:rPr>
          <w:rFonts w:ascii="Arial" w:hAnsi="Arial" w:cs="Arial"/>
          <w:sz w:val="24"/>
          <w:szCs w:val="24"/>
        </w:rPr>
        <w:t>ha</w:t>
      </w:r>
      <w:r w:rsidR="00BB69F4">
        <w:rPr>
          <w:rFonts w:ascii="Arial" w:hAnsi="Arial" w:cs="Arial"/>
          <w:sz w:val="24"/>
          <w:szCs w:val="24"/>
        </w:rPr>
        <w:t>. Ogni anno si possono quindi ottenere 10.000 ton di CO</w:t>
      </w:r>
      <w:r w:rsidR="00BB69F4" w:rsidRPr="00423453">
        <w:rPr>
          <w:rFonts w:ascii="Arial" w:hAnsi="Arial" w:cs="Arial"/>
          <w:sz w:val="24"/>
          <w:szCs w:val="24"/>
          <w:vertAlign w:val="subscript"/>
        </w:rPr>
        <w:t>2</w:t>
      </w:r>
      <w:r w:rsidR="00181211">
        <w:rPr>
          <w:rFonts w:ascii="Arial" w:hAnsi="Arial" w:cs="Arial"/>
          <w:sz w:val="24"/>
          <w:szCs w:val="24"/>
        </w:rPr>
        <w:t xml:space="preserve">; se si ipotizza un prezzo medio di 20 euro per tonnellata, </w:t>
      </w:r>
      <w:r w:rsidR="009B316C">
        <w:rPr>
          <w:rFonts w:ascii="Arial" w:hAnsi="Arial" w:cs="Arial"/>
          <w:sz w:val="24"/>
          <w:szCs w:val="24"/>
        </w:rPr>
        <w:t>l’importo annuo che si può ottenere è di circa 200.000 euro. Tuttavia</w:t>
      </w:r>
      <w:r w:rsidR="00DF1F92">
        <w:rPr>
          <w:rFonts w:ascii="Arial" w:hAnsi="Arial" w:cs="Arial"/>
          <w:sz w:val="24"/>
          <w:szCs w:val="24"/>
        </w:rPr>
        <w:t>,</w:t>
      </w:r>
      <w:r w:rsidR="009B316C">
        <w:rPr>
          <w:rFonts w:ascii="Arial" w:hAnsi="Arial" w:cs="Arial"/>
          <w:sz w:val="24"/>
          <w:szCs w:val="24"/>
        </w:rPr>
        <w:t xml:space="preserve"> va considerato che in questi 200.000 euro</w:t>
      </w:r>
      <w:r w:rsidR="00181468">
        <w:rPr>
          <w:rFonts w:ascii="Arial" w:hAnsi="Arial" w:cs="Arial"/>
          <w:sz w:val="24"/>
          <w:szCs w:val="24"/>
        </w:rPr>
        <w:t xml:space="preserve"> occorre detrarre i costi di aggregazione dei proprietari, i costi per i professionisti che seguono la procedura di emissione dei crediti, i costi della piattaforma. </w:t>
      </w:r>
      <w:r w:rsidR="002A7460">
        <w:rPr>
          <w:rFonts w:ascii="Arial" w:hAnsi="Arial" w:cs="Arial"/>
          <w:sz w:val="24"/>
          <w:szCs w:val="24"/>
        </w:rPr>
        <w:t>È</w:t>
      </w:r>
      <w:r w:rsidR="00711B30">
        <w:rPr>
          <w:rFonts w:ascii="Arial" w:hAnsi="Arial" w:cs="Arial"/>
          <w:sz w:val="24"/>
          <w:szCs w:val="24"/>
        </w:rPr>
        <w:t xml:space="preserve"> difficile che questo importo possa essere una spesa inferiore ai 20</w:t>
      </w:r>
      <w:r w:rsidR="000F2E04">
        <w:rPr>
          <w:rFonts w:ascii="Arial" w:hAnsi="Arial" w:cs="Arial"/>
          <w:sz w:val="24"/>
          <w:szCs w:val="24"/>
        </w:rPr>
        <w:t>.</w:t>
      </w:r>
      <w:r w:rsidR="00711B30">
        <w:rPr>
          <w:rFonts w:ascii="Arial" w:hAnsi="Arial" w:cs="Arial"/>
          <w:sz w:val="24"/>
          <w:szCs w:val="24"/>
        </w:rPr>
        <w:t>000 euro</w:t>
      </w:r>
      <w:r w:rsidR="000F2E04">
        <w:rPr>
          <w:rFonts w:ascii="Arial" w:hAnsi="Arial" w:cs="Arial"/>
          <w:sz w:val="24"/>
          <w:szCs w:val="24"/>
        </w:rPr>
        <w:t>, che è quasi un costo fisso</w:t>
      </w:r>
      <w:r w:rsidR="005D2CAE">
        <w:rPr>
          <w:rFonts w:ascii="Arial" w:hAnsi="Arial" w:cs="Arial"/>
          <w:sz w:val="24"/>
          <w:szCs w:val="24"/>
        </w:rPr>
        <w:t>, pertanto il valore finale che se ne ricava è di 180</w:t>
      </w:r>
      <w:r w:rsidR="008B3A48">
        <w:rPr>
          <w:rFonts w:ascii="Arial" w:hAnsi="Arial" w:cs="Arial"/>
          <w:sz w:val="24"/>
          <w:szCs w:val="24"/>
        </w:rPr>
        <w:t xml:space="preserve">.000 euro lordi all’anno. Non è un importo </w:t>
      </w:r>
      <w:r w:rsidR="001906BD">
        <w:rPr>
          <w:rFonts w:ascii="Arial" w:hAnsi="Arial" w:cs="Arial"/>
          <w:sz w:val="24"/>
          <w:szCs w:val="24"/>
        </w:rPr>
        <w:t xml:space="preserve">irrilevante ma non è neppure molto elevato. Soprattutto </w:t>
      </w:r>
      <w:r w:rsidR="00055EB4">
        <w:rPr>
          <w:rFonts w:ascii="Arial" w:hAnsi="Arial" w:cs="Arial"/>
          <w:sz w:val="24"/>
          <w:szCs w:val="24"/>
        </w:rPr>
        <w:t xml:space="preserve">è facile osservare che se l’estensione fosse di 1.000 </w:t>
      </w:r>
      <w:r w:rsidR="009F6AD2">
        <w:rPr>
          <w:rFonts w:ascii="Arial" w:hAnsi="Arial" w:cs="Arial"/>
          <w:sz w:val="24"/>
          <w:szCs w:val="24"/>
        </w:rPr>
        <w:t>H</w:t>
      </w:r>
      <w:r w:rsidR="002A7460">
        <w:rPr>
          <w:rFonts w:ascii="Arial" w:hAnsi="Arial" w:cs="Arial"/>
          <w:sz w:val="24"/>
          <w:szCs w:val="24"/>
        </w:rPr>
        <w:t xml:space="preserve">a </w:t>
      </w:r>
      <w:r w:rsidR="00055EB4">
        <w:rPr>
          <w:rFonts w:ascii="Arial" w:hAnsi="Arial" w:cs="Arial"/>
          <w:sz w:val="24"/>
          <w:szCs w:val="24"/>
        </w:rPr>
        <w:t xml:space="preserve">e i costi rimanessero più o meno gli stessi, si andrebbe a malapena a pareggio. </w:t>
      </w:r>
      <w:r w:rsidR="00C157C9">
        <w:rPr>
          <w:rFonts w:ascii="Arial" w:hAnsi="Arial" w:cs="Arial"/>
          <w:sz w:val="24"/>
          <w:szCs w:val="24"/>
        </w:rPr>
        <w:t>Ne consegue che questo tipo di crediti è economicamente sostenibile solo se vi sono</w:t>
      </w:r>
      <w:r w:rsidR="000D40C0">
        <w:rPr>
          <w:rFonts w:ascii="Arial" w:hAnsi="Arial" w:cs="Arial"/>
          <w:sz w:val="24"/>
          <w:szCs w:val="24"/>
        </w:rPr>
        <w:t xml:space="preserve"> estensioni perlomeno pari o maggiori di 1.000 </w:t>
      </w:r>
      <w:r w:rsidR="002A7460">
        <w:rPr>
          <w:rFonts w:ascii="Arial" w:hAnsi="Arial" w:cs="Arial"/>
          <w:sz w:val="24"/>
          <w:szCs w:val="24"/>
        </w:rPr>
        <w:t>ha</w:t>
      </w:r>
      <w:r w:rsidR="00DF1F92">
        <w:rPr>
          <w:rFonts w:ascii="Arial" w:hAnsi="Arial" w:cs="Arial"/>
          <w:sz w:val="24"/>
          <w:szCs w:val="24"/>
        </w:rPr>
        <w:t>, ovvero grandi parchi</w:t>
      </w:r>
      <w:r w:rsidR="00A90253">
        <w:rPr>
          <w:rFonts w:ascii="Arial" w:hAnsi="Arial" w:cs="Arial"/>
          <w:sz w:val="24"/>
          <w:szCs w:val="24"/>
        </w:rPr>
        <w:t xml:space="preserve"> o ampie proprietà</w:t>
      </w:r>
      <w:r w:rsidR="00B62390">
        <w:rPr>
          <w:rFonts w:ascii="Arial" w:hAnsi="Arial" w:cs="Arial"/>
          <w:sz w:val="24"/>
          <w:szCs w:val="24"/>
        </w:rPr>
        <w:t>, altrimenti non è conveniente. Quindi è anche poss</w:t>
      </w:r>
      <w:r w:rsidR="00F66C35">
        <w:rPr>
          <w:rFonts w:ascii="Arial" w:hAnsi="Arial" w:cs="Arial"/>
          <w:sz w:val="24"/>
          <w:szCs w:val="24"/>
        </w:rPr>
        <w:t>ibile che ad alcune Regioni non interessi molto fare questo tipo di piattaforma, perché non</w:t>
      </w:r>
      <w:r w:rsidR="00662569">
        <w:rPr>
          <w:rFonts w:ascii="Arial" w:hAnsi="Arial" w:cs="Arial"/>
          <w:sz w:val="24"/>
          <w:szCs w:val="24"/>
        </w:rPr>
        <w:t xml:space="preserve"> vi sono proprietari pubblici o privati che</w:t>
      </w:r>
      <w:r w:rsidR="00F66C35">
        <w:rPr>
          <w:rFonts w:ascii="Arial" w:hAnsi="Arial" w:cs="Arial"/>
          <w:sz w:val="24"/>
          <w:szCs w:val="24"/>
        </w:rPr>
        <w:t xml:space="preserve"> ha</w:t>
      </w:r>
      <w:r w:rsidR="00662569">
        <w:rPr>
          <w:rFonts w:ascii="Arial" w:hAnsi="Arial" w:cs="Arial"/>
          <w:sz w:val="24"/>
          <w:szCs w:val="24"/>
        </w:rPr>
        <w:t>nno</w:t>
      </w:r>
      <w:r w:rsidR="00F66C35">
        <w:rPr>
          <w:rFonts w:ascii="Arial" w:hAnsi="Arial" w:cs="Arial"/>
          <w:sz w:val="24"/>
          <w:szCs w:val="24"/>
        </w:rPr>
        <w:t xml:space="preserve"> un’este</w:t>
      </w:r>
      <w:r w:rsidR="00662569">
        <w:rPr>
          <w:rFonts w:ascii="Arial" w:hAnsi="Arial" w:cs="Arial"/>
          <w:sz w:val="24"/>
          <w:szCs w:val="24"/>
        </w:rPr>
        <w:t xml:space="preserve">nsione sufficientemente ampia di foresta. </w:t>
      </w:r>
      <w:r w:rsidR="00444E29">
        <w:rPr>
          <w:rFonts w:ascii="Arial" w:hAnsi="Arial" w:cs="Arial"/>
          <w:sz w:val="24"/>
          <w:szCs w:val="24"/>
        </w:rPr>
        <w:t xml:space="preserve">Un approfondimento sui costi e sui benefici di un sistema di crediti ecosistemici a livello Regionale verrà effettuato nell’azione C4. </w:t>
      </w:r>
    </w:p>
    <w:p w14:paraId="113634AF" w14:textId="073331BC" w:rsidR="00926D71" w:rsidRDefault="0015305F" w:rsidP="00BE55CD">
      <w:pPr>
        <w:pStyle w:val="Corpotesto"/>
        <w:ind w:right="45" w:firstLine="567"/>
        <w:jc w:val="both"/>
        <w:rPr>
          <w:rFonts w:ascii="Arial" w:hAnsi="Arial" w:cs="Arial"/>
          <w:sz w:val="24"/>
          <w:szCs w:val="24"/>
        </w:rPr>
      </w:pPr>
      <w:r w:rsidRPr="00CF2ED0">
        <w:rPr>
          <w:rFonts w:ascii="Arial" w:hAnsi="Arial" w:cs="Arial"/>
          <w:sz w:val="24"/>
          <w:szCs w:val="24"/>
          <w:highlight w:val="yellow"/>
        </w:rPr>
        <w:t>Questo calcolo riguarda solo l’ipotesi di una gestione forestale sostenibile che crei addizionalità rispetto ad un BAU</w:t>
      </w:r>
      <w:r w:rsidR="0065447A" w:rsidRPr="00CF2ED0">
        <w:rPr>
          <w:rFonts w:ascii="Arial" w:hAnsi="Arial" w:cs="Arial"/>
          <w:sz w:val="24"/>
          <w:szCs w:val="24"/>
          <w:highlight w:val="yellow"/>
        </w:rPr>
        <w:t xml:space="preserve">. </w:t>
      </w:r>
      <w:proofErr w:type="gramStart"/>
      <w:r w:rsidR="001763F0" w:rsidRPr="00CF2ED0">
        <w:rPr>
          <w:rFonts w:ascii="Arial" w:hAnsi="Arial" w:cs="Arial"/>
          <w:sz w:val="24"/>
          <w:szCs w:val="24"/>
          <w:highlight w:val="yellow"/>
        </w:rPr>
        <w:t>E</w:t>
      </w:r>
      <w:r w:rsidR="00EC06BB" w:rsidRPr="00CF2ED0">
        <w:rPr>
          <w:rFonts w:ascii="Arial" w:hAnsi="Arial" w:cs="Arial"/>
          <w:sz w:val="24"/>
          <w:szCs w:val="24"/>
          <w:highlight w:val="yellow"/>
        </w:rPr>
        <w:t>’</w:t>
      </w:r>
      <w:proofErr w:type="gramEnd"/>
      <w:r w:rsidR="00EC06BB" w:rsidRPr="00CF2ED0">
        <w:rPr>
          <w:rFonts w:ascii="Arial" w:hAnsi="Arial" w:cs="Arial"/>
          <w:sz w:val="24"/>
          <w:szCs w:val="24"/>
          <w:highlight w:val="yellow"/>
        </w:rPr>
        <w:t xml:space="preserve"> chiaro che se fosse possibile che le Regioni diventassero detentrici della CO2 </w:t>
      </w:r>
      <w:r w:rsidR="004A3591" w:rsidRPr="00CF2ED0">
        <w:rPr>
          <w:rFonts w:ascii="Arial" w:hAnsi="Arial" w:cs="Arial"/>
          <w:sz w:val="24"/>
          <w:szCs w:val="24"/>
          <w:highlight w:val="yellow"/>
        </w:rPr>
        <w:t xml:space="preserve">che deriva dalla gestione ordinaria delle foreste, ovvero di una quota di quei 26,599 milioni di tonnellate di CO2 </w:t>
      </w:r>
      <w:proofErr w:type="spellStart"/>
      <w:r w:rsidR="004A3591" w:rsidRPr="00CF2ED0">
        <w:rPr>
          <w:rFonts w:ascii="Arial" w:hAnsi="Arial" w:cs="Arial"/>
          <w:sz w:val="24"/>
          <w:szCs w:val="24"/>
          <w:highlight w:val="yellow"/>
        </w:rPr>
        <w:t>eq</w:t>
      </w:r>
      <w:proofErr w:type="spellEnd"/>
      <w:r w:rsidR="00084D2F" w:rsidRPr="00CF2ED0">
        <w:rPr>
          <w:rFonts w:ascii="Arial" w:hAnsi="Arial" w:cs="Arial"/>
          <w:sz w:val="24"/>
          <w:szCs w:val="24"/>
          <w:highlight w:val="yellow"/>
        </w:rPr>
        <w:t xml:space="preserve">, l’importo sarebbe potenzialmente molto più elevato. Non è possibile fare </w:t>
      </w:r>
      <w:r w:rsidR="004E0276" w:rsidRPr="00CF2ED0">
        <w:rPr>
          <w:rFonts w:ascii="Arial" w:hAnsi="Arial" w:cs="Arial"/>
          <w:sz w:val="24"/>
          <w:szCs w:val="24"/>
          <w:highlight w:val="yellow"/>
        </w:rPr>
        <w:t xml:space="preserve">un’ipotesi in questa sede, perché dipende molto dai criteri di allocazione di queste quote qualora fosse </w:t>
      </w:r>
      <w:r w:rsidR="006A285A" w:rsidRPr="00CF2ED0">
        <w:rPr>
          <w:rFonts w:ascii="Arial" w:hAnsi="Arial" w:cs="Arial"/>
          <w:sz w:val="24"/>
          <w:szCs w:val="24"/>
          <w:highlight w:val="yellow"/>
        </w:rPr>
        <w:t>possibile un atto normativo tra Stato e Regioni</w:t>
      </w:r>
      <w:r w:rsidR="0061391B" w:rsidRPr="00CF2ED0">
        <w:rPr>
          <w:rFonts w:ascii="Arial" w:hAnsi="Arial" w:cs="Arial"/>
          <w:sz w:val="24"/>
          <w:szCs w:val="24"/>
          <w:highlight w:val="yellow"/>
        </w:rPr>
        <w:t xml:space="preserve">. </w:t>
      </w:r>
      <w:r w:rsidR="00A91D88" w:rsidRPr="00CF2ED0">
        <w:rPr>
          <w:rFonts w:ascii="Arial" w:hAnsi="Arial" w:cs="Arial"/>
          <w:sz w:val="24"/>
          <w:szCs w:val="24"/>
          <w:highlight w:val="yellow"/>
        </w:rPr>
        <w:t xml:space="preserve">Ma è probabile che gli importi descritti nella simulazione potrebbero essere raddoppiati o triplicati, </w:t>
      </w:r>
      <w:r w:rsidR="005953F6" w:rsidRPr="00CF2ED0">
        <w:rPr>
          <w:rFonts w:ascii="Arial" w:hAnsi="Arial" w:cs="Arial"/>
          <w:sz w:val="24"/>
          <w:szCs w:val="24"/>
          <w:highlight w:val="yellow"/>
        </w:rPr>
        <w:t>rendendo interessante il supporto economico che potrebbe essere offerto alla gestione forestale sostenibile.</w:t>
      </w:r>
      <w:r w:rsidR="005953F6">
        <w:rPr>
          <w:rFonts w:ascii="Arial" w:hAnsi="Arial" w:cs="Arial"/>
          <w:sz w:val="24"/>
          <w:szCs w:val="24"/>
        </w:rPr>
        <w:t xml:space="preserve"> </w:t>
      </w:r>
    </w:p>
    <w:p w14:paraId="14AD4E16" w14:textId="77777777" w:rsidR="006931DF" w:rsidRDefault="006931DF" w:rsidP="00BE55CD">
      <w:pPr>
        <w:pStyle w:val="Corpotesto"/>
        <w:ind w:right="45" w:firstLine="567"/>
        <w:jc w:val="both"/>
        <w:rPr>
          <w:rFonts w:ascii="Arial" w:hAnsi="Arial" w:cs="Arial"/>
          <w:sz w:val="24"/>
          <w:szCs w:val="24"/>
        </w:rPr>
      </w:pPr>
    </w:p>
    <w:p w14:paraId="0FC482AE" w14:textId="77777777" w:rsidR="008F3B6B" w:rsidRDefault="008F3B6B" w:rsidP="00BE55CD">
      <w:pPr>
        <w:pStyle w:val="Corpotesto"/>
        <w:ind w:right="45" w:firstLine="567"/>
        <w:jc w:val="both"/>
        <w:rPr>
          <w:rFonts w:ascii="Arial" w:hAnsi="Arial" w:cs="Arial"/>
          <w:sz w:val="24"/>
          <w:szCs w:val="24"/>
        </w:rPr>
      </w:pPr>
    </w:p>
    <w:sectPr w:rsidR="008F3B6B" w:rsidSect="00582DAA">
      <w:headerReference w:type="default" r:id="rId11"/>
      <w:footerReference w:type="default" r:id="rId12"/>
      <w:type w:val="continuous"/>
      <w:pgSz w:w="11900" w:h="16840"/>
      <w:pgMar w:top="1701" w:right="1134" w:bottom="1134" w:left="1134" w:header="269" w:footer="85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429EB" w14:textId="77777777" w:rsidR="0011547D" w:rsidRDefault="0011547D">
      <w:r>
        <w:separator/>
      </w:r>
    </w:p>
  </w:endnote>
  <w:endnote w:type="continuationSeparator" w:id="0">
    <w:p w14:paraId="3BDABD84" w14:textId="77777777" w:rsidR="0011547D" w:rsidRDefault="0011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UAlbertina-Regular-Identity-H">
    <w:altName w:val="Yu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6920609"/>
      <w:docPartObj>
        <w:docPartGallery w:val="Page Numbers (Bottom of Page)"/>
        <w:docPartUnique/>
      </w:docPartObj>
    </w:sdtPr>
    <w:sdtEndPr/>
    <w:sdtContent>
      <w:p w14:paraId="75CB7C51" w14:textId="674AE1F1" w:rsidR="004616EE" w:rsidRDefault="004616EE">
        <w:pPr>
          <w:pStyle w:val="Pidipagina"/>
          <w:jc w:val="center"/>
        </w:pPr>
        <w:r>
          <w:fldChar w:fldCharType="begin"/>
        </w:r>
        <w:r>
          <w:instrText>PAGE   \* MERGEFORMAT</w:instrText>
        </w:r>
        <w:r>
          <w:fldChar w:fldCharType="separate"/>
        </w:r>
        <w:r>
          <w:t>2</w:t>
        </w:r>
        <w:r>
          <w:fldChar w:fldCharType="end"/>
        </w:r>
      </w:p>
    </w:sdtContent>
  </w:sdt>
  <w:p w14:paraId="79126DC3" w14:textId="144D553B" w:rsidR="00064EE6" w:rsidRDefault="00064EE6">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50757" w14:textId="77777777" w:rsidR="0011547D" w:rsidRDefault="0011547D">
      <w:r>
        <w:separator/>
      </w:r>
    </w:p>
  </w:footnote>
  <w:footnote w:type="continuationSeparator" w:id="0">
    <w:p w14:paraId="7AE780F7" w14:textId="77777777" w:rsidR="0011547D" w:rsidRDefault="0011547D">
      <w:r>
        <w:continuationSeparator/>
      </w:r>
    </w:p>
  </w:footnote>
  <w:footnote w:id="1">
    <w:p w14:paraId="00CE77DE" w14:textId="77777777" w:rsidR="00C52378" w:rsidRPr="00CA32FD" w:rsidRDefault="00C52378" w:rsidP="00C52378">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La tonnellata di CO2 è la quantità che è contenuta in una EUA (</w:t>
      </w:r>
      <w:proofErr w:type="spellStart"/>
      <w:r w:rsidRPr="00CA32FD">
        <w:rPr>
          <w:rFonts w:ascii="Arial" w:hAnsi="Arial" w:cs="Arial"/>
        </w:rPr>
        <w:t>European</w:t>
      </w:r>
      <w:proofErr w:type="spellEnd"/>
      <w:r w:rsidRPr="00CA32FD">
        <w:rPr>
          <w:rFonts w:ascii="Arial" w:hAnsi="Arial" w:cs="Arial"/>
        </w:rPr>
        <w:t xml:space="preserve"> Unit </w:t>
      </w:r>
      <w:proofErr w:type="spellStart"/>
      <w:r w:rsidRPr="00CA32FD">
        <w:rPr>
          <w:rFonts w:ascii="Arial" w:hAnsi="Arial" w:cs="Arial"/>
        </w:rPr>
        <w:t>Allowance</w:t>
      </w:r>
      <w:proofErr w:type="spellEnd"/>
      <w:r w:rsidRPr="00CA32FD">
        <w:rPr>
          <w:rFonts w:ascii="Arial" w:hAnsi="Arial" w:cs="Arial"/>
        </w:rPr>
        <w:t xml:space="preserve">), che è l’unica che viene scambiata sul mercato EU ETS. Per la sua descrizione, si veda dopo il capitolo 2. </w:t>
      </w:r>
    </w:p>
  </w:footnote>
  <w:footnote w:id="2">
    <w:p w14:paraId="68972F73" w14:textId="77777777" w:rsidR="00B442B0" w:rsidRPr="00CA32FD" w:rsidRDefault="00B442B0" w:rsidP="00B442B0">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I settori ESR sono quelli che si inquadrano nell’</w:t>
      </w:r>
      <w:proofErr w:type="spellStart"/>
      <w:r w:rsidRPr="00CA32FD">
        <w:rPr>
          <w:rFonts w:ascii="Arial" w:hAnsi="Arial" w:cs="Arial"/>
        </w:rPr>
        <w:t>Effort</w:t>
      </w:r>
      <w:proofErr w:type="spellEnd"/>
      <w:r w:rsidRPr="00CA32FD">
        <w:rPr>
          <w:rFonts w:ascii="Arial" w:hAnsi="Arial" w:cs="Arial"/>
        </w:rPr>
        <w:t xml:space="preserve"> Sharing </w:t>
      </w:r>
      <w:proofErr w:type="spellStart"/>
      <w:r w:rsidRPr="00CA32FD">
        <w:rPr>
          <w:rFonts w:ascii="Arial" w:hAnsi="Arial" w:cs="Arial"/>
        </w:rPr>
        <w:t>Regulation</w:t>
      </w:r>
      <w:proofErr w:type="spellEnd"/>
      <w:r w:rsidRPr="00CA32FD">
        <w:rPr>
          <w:rFonts w:ascii="Arial" w:hAnsi="Arial" w:cs="Arial"/>
        </w:rPr>
        <w:t xml:space="preserve"> e sono principalmente trasporti, rifiuti, agricoltura e altri dai quali provengono circa il 30% delle emissioni europee.</w:t>
      </w:r>
    </w:p>
  </w:footnote>
  <w:footnote w:id="3">
    <w:p w14:paraId="62FA2078" w14:textId="77777777" w:rsidR="009F69D8" w:rsidRPr="00CA32FD" w:rsidRDefault="009F69D8" w:rsidP="009F69D8">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Il FRL è calcolato come valore annuale. </w:t>
      </w:r>
    </w:p>
  </w:footnote>
  <w:footnote w:id="4">
    <w:p w14:paraId="69B75246" w14:textId="77777777" w:rsidR="009F69D8" w:rsidRPr="00CA32FD" w:rsidRDefault="009F69D8" w:rsidP="009F69D8">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lang w:val="en-GB"/>
        </w:rPr>
        <w:t xml:space="preserve"> Commission expert group on Land Use, Land Use Change and Forestry (LULUCF) (E03638). </w:t>
      </w:r>
      <w:r w:rsidRPr="00CA32FD">
        <w:rPr>
          <w:rFonts w:ascii="Arial" w:hAnsi="Arial" w:cs="Arial"/>
        </w:rPr>
        <w:t xml:space="preserve">Assiste la DG Clima nell'analisi dei NFAP in relazione all'Art.8 Reg. (41/2018. Standing </w:t>
      </w:r>
      <w:proofErr w:type="spellStart"/>
      <w:r w:rsidRPr="00CA32FD">
        <w:rPr>
          <w:rFonts w:ascii="Arial" w:hAnsi="Arial" w:cs="Arial"/>
        </w:rPr>
        <w:t>Forest</w:t>
      </w:r>
      <w:proofErr w:type="spellEnd"/>
      <w:r w:rsidRPr="00CA32FD">
        <w:rPr>
          <w:rFonts w:ascii="Arial" w:hAnsi="Arial" w:cs="Arial"/>
        </w:rPr>
        <w:t xml:space="preserve"> Committee: attualmente svolge un ruolo di </w:t>
      </w:r>
      <w:proofErr w:type="spellStart"/>
      <w:r w:rsidRPr="00CA32FD">
        <w:rPr>
          <w:rFonts w:ascii="Arial" w:hAnsi="Arial" w:cs="Arial"/>
        </w:rPr>
        <w:t>Advisory</w:t>
      </w:r>
      <w:proofErr w:type="spellEnd"/>
      <w:r w:rsidRPr="00CA32FD">
        <w:rPr>
          <w:rFonts w:ascii="Arial" w:hAnsi="Arial" w:cs="Arial"/>
        </w:rPr>
        <w:t xml:space="preserve"> Board nella Strategia Forestale della UE. Viene consultato per la definizione dei FRL.</w:t>
      </w:r>
    </w:p>
  </w:footnote>
  <w:footnote w:id="5">
    <w:p w14:paraId="17596B6F" w14:textId="77777777" w:rsidR="006C2409" w:rsidRPr="003B1EA7" w:rsidRDefault="006C2409" w:rsidP="006C2409">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Come del resto previsto da</w:t>
      </w:r>
      <w:r w:rsidRPr="003B1EA7">
        <w:rPr>
          <w:rFonts w:ascii="Arial" w:hAnsi="Arial" w:cs="Arial"/>
        </w:rPr>
        <w:t>ll’articolo 6, comma 2 del decreto legislativo 3 aprile 2018, n. 34.</w:t>
      </w:r>
    </w:p>
  </w:footnote>
  <w:footnote w:id="6">
    <w:p w14:paraId="7CE5E12C" w14:textId="77777777" w:rsidR="00286149" w:rsidRPr="00293D1D" w:rsidRDefault="00286149" w:rsidP="00286149">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I dati sono presi dall’</w:t>
      </w:r>
      <w:proofErr w:type="spellStart"/>
      <w:r w:rsidRPr="00CA32FD">
        <w:rPr>
          <w:rFonts w:ascii="Arial" w:hAnsi="Arial" w:cs="Arial"/>
        </w:rPr>
        <w:t>Italian</w:t>
      </w:r>
      <w:proofErr w:type="spellEnd"/>
      <w:r w:rsidRPr="00CA32FD">
        <w:rPr>
          <w:rFonts w:ascii="Arial" w:hAnsi="Arial" w:cs="Arial"/>
        </w:rPr>
        <w:t xml:space="preserve"> </w:t>
      </w:r>
      <w:proofErr w:type="spellStart"/>
      <w:r w:rsidRPr="00CA32FD">
        <w:rPr>
          <w:rFonts w:ascii="Arial" w:hAnsi="Arial" w:cs="Arial"/>
        </w:rPr>
        <w:t>Greenhouse</w:t>
      </w:r>
      <w:proofErr w:type="spellEnd"/>
      <w:r w:rsidRPr="00CA32FD">
        <w:rPr>
          <w:rFonts w:ascii="Arial" w:hAnsi="Arial" w:cs="Arial"/>
        </w:rPr>
        <w:t xml:space="preserve"> National Inventory</w:t>
      </w:r>
      <w:r w:rsidRPr="003B1EA7">
        <w:rPr>
          <w:rFonts w:ascii="Arial" w:hAnsi="Arial" w:cs="Arial"/>
        </w:rPr>
        <w:t xml:space="preserve">1990-2019, National Inventory Report 2021 redatto da ISPRA, tabella a pagina 357. </w:t>
      </w:r>
    </w:p>
  </w:footnote>
  <w:footnote w:id="7">
    <w:p w14:paraId="19FC405C" w14:textId="77777777" w:rsidR="00286149" w:rsidRPr="00293D1D" w:rsidRDefault="00286149" w:rsidP="00286149">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Sembra che parecchi anni fa, all’epoca dell’istituzione del Protocollo di Kyoto in Italia si fosse chiesto alle Regioni, nell’ambito della Conferenza Stato Regioni</w:t>
      </w:r>
      <w:r w:rsidRPr="003B1EA7">
        <w:rPr>
          <w:rFonts w:ascii="Arial" w:hAnsi="Arial" w:cs="Arial"/>
        </w:rPr>
        <w:t>, se volessero la competenza per i crediti di carbonio ma la cosa non trovò consenso tra le Regioni. Oggi</w:t>
      </w:r>
      <w:r w:rsidRPr="00293D1D">
        <w:rPr>
          <w:rFonts w:ascii="Arial" w:hAnsi="Arial" w:cs="Arial"/>
        </w:rPr>
        <w:t xml:space="preserve">, comunque, il momento storico è completamente diverso. </w:t>
      </w:r>
    </w:p>
  </w:footnote>
  <w:footnote w:id="8">
    <w:p w14:paraId="4B00B118" w14:textId="776B0047" w:rsidR="00614AEF" w:rsidRPr="00CA32FD" w:rsidRDefault="00614AEF" w:rsidP="00CA32F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Nello sviluppo del documento e in tutti i deliverable del Progetto CO2PES&amp;PF i termini “Crediti Ecosistemici” e “Crediti di Sostenibilità” saranno utilizzati come sinoni</w:t>
      </w:r>
      <w:r w:rsidR="00861E56" w:rsidRPr="00CA32FD">
        <w:rPr>
          <w:rFonts w:ascii="Arial" w:hAnsi="Arial" w:cs="Arial"/>
        </w:rPr>
        <w:t xml:space="preserve">mi. </w:t>
      </w:r>
    </w:p>
  </w:footnote>
  <w:footnote w:id="9">
    <w:p w14:paraId="51560B00" w14:textId="6B65ACEF" w:rsidR="008C2730" w:rsidRPr="00CA32FD" w:rsidRDefault="008C2730" w:rsidP="00CA32F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La tonnellata di CO2 è </w:t>
      </w:r>
      <w:r w:rsidR="00BB5CBA" w:rsidRPr="00CA32FD">
        <w:rPr>
          <w:rFonts w:ascii="Arial" w:hAnsi="Arial" w:cs="Arial"/>
        </w:rPr>
        <w:t>la quantità che è contenuta in una EUA (</w:t>
      </w:r>
      <w:proofErr w:type="spellStart"/>
      <w:r w:rsidR="00BB5CBA" w:rsidRPr="00CA32FD">
        <w:rPr>
          <w:rFonts w:ascii="Arial" w:hAnsi="Arial" w:cs="Arial"/>
        </w:rPr>
        <w:t>European</w:t>
      </w:r>
      <w:proofErr w:type="spellEnd"/>
      <w:r w:rsidR="00BB5CBA" w:rsidRPr="00CA32FD">
        <w:rPr>
          <w:rFonts w:ascii="Arial" w:hAnsi="Arial" w:cs="Arial"/>
        </w:rPr>
        <w:t xml:space="preserve"> Unit </w:t>
      </w:r>
      <w:proofErr w:type="spellStart"/>
      <w:r w:rsidR="00BB5CBA" w:rsidRPr="00CA32FD">
        <w:rPr>
          <w:rFonts w:ascii="Arial" w:hAnsi="Arial" w:cs="Arial"/>
        </w:rPr>
        <w:t>Allowance</w:t>
      </w:r>
      <w:proofErr w:type="spellEnd"/>
      <w:r w:rsidR="00BB5CBA" w:rsidRPr="00CA32FD">
        <w:rPr>
          <w:rFonts w:ascii="Arial" w:hAnsi="Arial" w:cs="Arial"/>
        </w:rPr>
        <w:t>)</w:t>
      </w:r>
      <w:r w:rsidR="00F827BC" w:rsidRPr="00CA32FD">
        <w:rPr>
          <w:rFonts w:ascii="Arial" w:hAnsi="Arial" w:cs="Arial"/>
        </w:rPr>
        <w:t xml:space="preserve">, che è l’unica che viene scambiata sul mercato EU ETS. </w:t>
      </w:r>
      <w:r w:rsidR="00EF18B7" w:rsidRPr="00CA32FD">
        <w:rPr>
          <w:rFonts w:ascii="Arial" w:hAnsi="Arial" w:cs="Arial"/>
        </w:rPr>
        <w:t>Per la sua descrizione, s</w:t>
      </w:r>
      <w:r w:rsidR="00F827BC" w:rsidRPr="00CA32FD">
        <w:rPr>
          <w:rFonts w:ascii="Arial" w:hAnsi="Arial" w:cs="Arial"/>
        </w:rPr>
        <w:t xml:space="preserve">i veda dopo il capitolo </w:t>
      </w:r>
      <w:r w:rsidR="000D61AA" w:rsidRPr="00CA32FD">
        <w:rPr>
          <w:rFonts w:ascii="Arial" w:hAnsi="Arial" w:cs="Arial"/>
        </w:rPr>
        <w:t>2</w:t>
      </w:r>
      <w:r w:rsidR="00F827BC" w:rsidRPr="00CA32FD">
        <w:rPr>
          <w:rFonts w:ascii="Arial" w:hAnsi="Arial" w:cs="Arial"/>
        </w:rPr>
        <w:t xml:space="preserve">. </w:t>
      </w:r>
    </w:p>
  </w:footnote>
  <w:footnote w:id="10">
    <w:p w14:paraId="56E325F0" w14:textId="6F250691" w:rsidR="000B60CA" w:rsidRPr="00CA32FD" w:rsidRDefault="000B60CA" w:rsidP="00CA32F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Tra cui il metodo della </w:t>
      </w:r>
      <w:proofErr w:type="spellStart"/>
      <w:r w:rsidRPr="00CA32FD">
        <w:rPr>
          <w:rFonts w:ascii="Arial" w:hAnsi="Arial" w:cs="Arial"/>
        </w:rPr>
        <w:t>Contingent</w:t>
      </w:r>
      <w:proofErr w:type="spellEnd"/>
      <w:r w:rsidRPr="00CA32FD">
        <w:rPr>
          <w:rFonts w:ascii="Arial" w:hAnsi="Arial" w:cs="Arial"/>
        </w:rPr>
        <w:t xml:space="preserve"> Evaluation, il metodo del Costo Base</w:t>
      </w:r>
      <w:r w:rsidR="00143BA4" w:rsidRPr="00CA32FD">
        <w:rPr>
          <w:rFonts w:ascii="Arial" w:hAnsi="Arial" w:cs="Arial"/>
        </w:rPr>
        <w:t xml:space="preserve"> e altri metodi come i sistemi indiretti e i prezzi edonici. </w:t>
      </w:r>
    </w:p>
  </w:footnote>
  <w:footnote w:id="11">
    <w:p w14:paraId="21871918" w14:textId="77777777" w:rsidR="00627715" w:rsidRPr="00CA32FD" w:rsidRDefault="00627715" w:rsidP="00CA32F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Una EUA è pari a 1 ton CO2 Equivalente. </w:t>
      </w:r>
      <w:proofErr w:type="gramStart"/>
      <w:r w:rsidRPr="00CA32FD">
        <w:rPr>
          <w:rFonts w:ascii="Arial" w:hAnsi="Arial" w:cs="Arial"/>
        </w:rPr>
        <w:t>E’</w:t>
      </w:r>
      <w:proofErr w:type="gramEnd"/>
      <w:r w:rsidRPr="00CA32FD">
        <w:rPr>
          <w:rFonts w:ascii="Arial" w:hAnsi="Arial" w:cs="Arial"/>
        </w:rPr>
        <w:t xml:space="preserve"> simile ad un credito di carbonio, ma presenta alcune differenze con il credito di carbonio classico, che è definito secondo lo schema del </w:t>
      </w:r>
      <w:proofErr w:type="spellStart"/>
      <w:r w:rsidRPr="00CA32FD">
        <w:rPr>
          <w:rFonts w:ascii="Arial" w:hAnsi="Arial" w:cs="Arial"/>
        </w:rPr>
        <w:t>Clean</w:t>
      </w:r>
      <w:proofErr w:type="spellEnd"/>
      <w:r w:rsidRPr="00CA32FD">
        <w:rPr>
          <w:rFonts w:ascii="Arial" w:hAnsi="Arial" w:cs="Arial"/>
        </w:rPr>
        <w:t xml:space="preserve"> Development </w:t>
      </w:r>
      <w:proofErr w:type="spellStart"/>
      <w:r w:rsidRPr="00CA32FD">
        <w:rPr>
          <w:rFonts w:ascii="Arial" w:hAnsi="Arial" w:cs="Arial"/>
        </w:rPr>
        <w:t>Mechanism</w:t>
      </w:r>
      <w:proofErr w:type="spellEnd"/>
      <w:r w:rsidRPr="00CA32FD">
        <w:rPr>
          <w:rFonts w:ascii="Arial" w:hAnsi="Arial" w:cs="Arial"/>
        </w:rPr>
        <w:t xml:space="preserve"> del Protocollo di Kyoto. </w:t>
      </w:r>
    </w:p>
  </w:footnote>
  <w:footnote w:id="12">
    <w:p w14:paraId="795B5C14" w14:textId="08149525" w:rsidR="00833849" w:rsidRPr="00CA32FD" w:rsidRDefault="00833849" w:rsidP="00CA32F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Il suo rilascio è previsto per l’ultimo trimestre del 2021.</w:t>
      </w:r>
    </w:p>
  </w:footnote>
  <w:footnote w:id="13">
    <w:p w14:paraId="6D881816" w14:textId="5172B46D" w:rsidR="005D01BC" w:rsidRPr="00CA32FD" w:rsidRDefault="005D01BC" w:rsidP="00CA32F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I settori sono essenzialmente quello della produzione di energia, i settori energivori</w:t>
      </w:r>
      <w:r w:rsidR="001239EC" w:rsidRPr="00CA32FD">
        <w:rPr>
          <w:rFonts w:ascii="Arial" w:hAnsi="Arial" w:cs="Arial"/>
        </w:rPr>
        <w:t xml:space="preserve"> (</w:t>
      </w:r>
      <w:r w:rsidR="003D20AF" w:rsidRPr="00CA32FD">
        <w:rPr>
          <w:rFonts w:ascii="Arial" w:hAnsi="Arial" w:cs="Arial"/>
        </w:rPr>
        <w:t xml:space="preserve">fonderie, </w:t>
      </w:r>
      <w:r w:rsidR="001239EC" w:rsidRPr="00CA32FD">
        <w:rPr>
          <w:rFonts w:ascii="Arial" w:hAnsi="Arial" w:cs="Arial"/>
        </w:rPr>
        <w:t>siderurgia, laterizi, vetro, etc.)</w:t>
      </w:r>
      <w:r w:rsidR="003D20AF" w:rsidRPr="00CA32FD">
        <w:rPr>
          <w:rFonts w:ascii="Arial" w:hAnsi="Arial" w:cs="Arial"/>
        </w:rPr>
        <w:t>, chimica e</w:t>
      </w:r>
      <w:r w:rsidR="003C61CC" w:rsidRPr="00CA32FD">
        <w:rPr>
          <w:rFonts w:ascii="Arial" w:hAnsi="Arial" w:cs="Arial"/>
        </w:rPr>
        <w:t xml:space="preserve">, più recentemente, trasporti aerei. </w:t>
      </w:r>
      <w:proofErr w:type="gramStart"/>
      <w:r w:rsidR="00612E1C" w:rsidRPr="00CA32FD">
        <w:rPr>
          <w:rFonts w:ascii="Arial" w:hAnsi="Arial" w:cs="Arial"/>
        </w:rPr>
        <w:t>E’</w:t>
      </w:r>
      <w:proofErr w:type="gramEnd"/>
      <w:r w:rsidR="00612E1C" w:rsidRPr="00CA32FD">
        <w:rPr>
          <w:rFonts w:ascii="Arial" w:hAnsi="Arial" w:cs="Arial"/>
        </w:rPr>
        <w:t xml:space="preserve"> possibile che nel</w:t>
      </w:r>
      <w:r w:rsidR="00E31EDD" w:rsidRPr="00CA32FD">
        <w:rPr>
          <w:rFonts w:ascii="Arial" w:hAnsi="Arial" w:cs="Arial"/>
        </w:rPr>
        <w:t xml:space="preserve"> periodo 2021-2030 altri settori entrino a far parte di EU ETS o che vi siano degli adeguamenti</w:t>
      </w:r>
      <w:r w:rsidR="003D664E" w:rsidRPr="00CA32FD">
        <w:rPr>
          <w:rFonts w:ascii="Arial" w:hAnsi="Arial" w:cs="Arial"/>
        </w:rPr>
        <w:t xml:space="preserve">. </w:t>
      </w:r>
    </w:p>
  </w:footnote>
  <w:footnote w:id="14">
    <w:p w14:paraId="545A3D40" w14:textId="510CB70C" w:rsidR="00DE6C0C" w:rsidRPr="00CA32FD" w:rsidRDefault="00DE6C0C" w:rsidP="00CA32F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Tecnicamente vi sono </w:t>
      </w:r>
      <w:r w:rsidR="009E48FD" w:rsidRPr="00CA32FD">
        <w:rPr>
          <w:rFonts w:ascii="Arial" w:hAnsi="Arial" w:cs="Arial"/>
        </w:rPr>
        <w:t>alcune differenze tra un credito di carbonio come i CER</w:t>
      </w:r>
      <w:r w:rsidR="00474112" w:rsidRPr="00CA32FD">
        <w:rPr>
          <w:rFonts w:ascii="Arial" w:hAnsi="Arial" w:cs="Arial"/>
        </w:rPr>
        <w:t xml:space="preserve"> e le EUA, ma nella sostanza sono molto simili l’uno con l’altro. </w:t>
      </w:r>
    </w:p>
  </w:footnote>
  <w:footnote w:id="15">
    <w:p w14:paraId="1939906D" w14:textId="7D8B4D9F" w:rsidR="00B41357" w:rsidRPr="00CA32FD" w:rsidRDefault="00B41357" w:rsidP="00CA32F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Si veda più oltre il capitol</w:t>
      </w:r>
      <w:r w:rsidR="004A73DE" w:rsidRPr="00CA32FD">
        <w:rPr>
          <w:rFonts w:ascii="Arial" w:hAnsi="Arial" w:cs="Arial"/>
        </w:rPr>
        <w:t>o 9.</w:t>
      </w:r>
    </w:p>
  </w:footnote>
  <w:footnote w:id="16">
    <w:p w14:paraId="3C4AD161" w14:textId="11A04C26" w:rsidR="00335B16" w:rsidRPr="00CA32FD" w:rsidRDefault="00335B16" w:rsidP="00CA32F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w:t>
      </w:r>
      <w:r w:rsidR="00D20250" w:rsidRPr="00CA32FD">
        <w:rPr>
          <w:rFonts w:ascii="Arial" w:hAnsi="Arial" w:cs="Arial"/>
        </w:rPr>
        <w:t xml:space="preserve">I Paesi che appartenevano alla categoria di quelli “industrializzati” erano elencati </w:t>
      </w:r>
      <w:r w:rsidR="00163DED" w:rsidRPr="00CA32FD">
        <w:rPr>
          <w:rFonts w:ascii="Arial" w:hAnsi="Arial" w:cs="Arial"/>
        </w:rPr>
        <w:t>nell’</w:t>
      </w:r>
      <w:proofErr w:type="spellStart"/>
      <w:r w:rsidR="00163DED" w:rsidRPr="00CA32FD">
        <w:rPr>
          <w:rFonts w:ascii="Arial" w:hAnsi="Arial" w:cs="Arial"/>
        </w:rPr>
        <w:t>Annex</w:t>
      </w:r>
      <w:proofErr w:type="spellEnd"/>
      <w:r w:rsidR="00163DED" w:rsidRPr="00CA32FD">
        <w:rPr>
          <w:rFonts w:ascii="Arial" w:hAnsi="Arial" w:cs="Arial"/>
        </w:rPr>
        <w:t xml:space="preserve"> I del Protocollo di Kyoto. </w:t>
      </w:r>
      <w:r w:rsidR="00AB282B" w:rsidRPr="00CA32FD">
        <w:rPr>
          <w:rFonts w:ascii="Arial" w:hAnsi="Arial" w:cs="Arial"/>
        </w:rPr>
        <w:t>Con l’Accordo di Parigi questa distinzione è venuta a cadere, in quanto molti PVS</w:t>
      </w:r>
      <w:r w:rsidR="00F81931" w:rsidRPr="00CA32FD">
        <w:rPr>
          <w:rFonts w:ascii="Arial" w:hAnsi="Arial" w:cs="Arial"/>
        </w:rPr>
        <w:t xml:space="preserve">, come i BRIC, sono diventati generatori di emissioni nette al pari e anche oltre </w:t>
      </w:r>
      <w:r w:rsidR="00406D61" w:rsidRPr="00CA32FD">
        <w:rPr>
          <w:rFonts w:ascii="Arial" w:hAnsi="Arial" w:cs="Arial"/>
        </w:rPr>
        <w:t xml:space="preserve">di molti Paesi industrializzati. </w:t>
      </w:r>
    </w:p>
  </w:footnote>
  <w:footnote w:id="17">
    <w:p w14:paraId="3B62B125" w14:textId="6BDBA43B" w:rsidR="00041959" w:rsidRPr="00CA32FD" w:rsidRDefault="00041959" w:rsidP="00CA32F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Le procedure prim</w:t>
      </w:r>
      <w:r w:rsidR="00E50917" w:rsidRPr="00CA32FD">
        <w:rPr>
          <w:rFonts w:ascii="Arial" w:hAnsi="Arial" w:cs="Arial"/>
        </w:rPr>
        <w:t xml:space="preserve">arie sono quella del </w:t>
      </w:r>
      <w:proofErr w:type="spellStart"/>
      <w:r w:rsidR="00E50917" w:rsidRPr="00CA32FD">
        <w:rPr>
          <w:rFonts w:ascii="Arial" w:hAnsi="Arial" w:cs="Arial"/>
        </w:rPr>
        <w:t>Clean</w:t>
      </w:r>
      <w:proofErr w:type="spellEnd"/>
      <w:r w:rsidR="00E50917" w:rsidRPr="00CA32FD">
        <w:rPr>
          <w:rFonts w:ascii="Arial" w:hAnsi="Arial" w:cs="Arial"/>
        </w:rPr>
        <w:t xml:space="preserve"> Development </w:t>
      </w:r>
      <w:proofErr w:type="spellStart"/>
      <w:r w:rsidR="00E50917" w:rsidRPr="00CA32FD">
        <w:rPr>
          <w:rFonts w:ascii="Arial" w:hAnsi="Arial" w:cs="Arial"/>
        </w:rPr>
        <w:t>Mechanism</w:t>
      </w:r>
      <w:proofErr w:type="spellEnd"/>
      <w:r w:rsidR="00E50917" w:rsidRPr="00CA32FD">
        <w:rPr>
          <w:rFonts w:ascii="Arial" w:hAnsi="Arial" w:cs="Arial"/>
        </w:rPr>
        <w:t xml:space="preserve"> (CDM) e del Joint </w:t>
      </w:r>
      <w:proofErr w:type="spellStart"/>
      <w:r w:rsidR="00E50917" w:rsidRPr="00CA32FD">
        <w:rPr>
          <w:rFonts w:ascii="Arial" w:hAnsi="Arial" w:cs="Arial"/>
        </w:rPr>
        <w:t>Imple</w:t>
      </w:r>
      <w:r w:rsidR="004D2D1F" w:rsidRPr="00CA32FD">
        <w:rPr>
          <w:rFonts w:ascii="Arial" w:hAnsi="Arial" w:cs="Arial"/>
        </w:rPr>
        <w:t>me</w:t>
      </w:r>
      <w:r w:rsidR="00E50917" w:rsidRPr="00CA32FD">
        <w:rPr>
          <w:rFonts w:ascii="Arial" w:hAnsi="Arial" w:cs="Arial"/>
        </w:rPr>
        <w:t>ntation</w:t>
      </w:r>
      <w:proofErr w:type="spellEnd"/>
      <w:r w:rsidR="004D2D1F" w:rsidRPr="00CA32FD">
        <w:rPr>
          <w:rFonts w:ascii="Arial" w:hAnsi="Arial" w:cs="Arial"/>
        </w:rPr>
        <w:t xml:space="preserve"> (JI). Per una </w:t>
      </w:r>
      <w:r w:rsidR="00701D8F" w:rsidRPr="00CA32FD">
        <w:rPr>
          <w:rFonts w:ascii="Arial" w:hAnsi="Arial" w:cs="Arial"/>
        </w:rPr>
        <w:t>breve descrizione di queste procedure</w:t>
      </w:r>
      <w:r w:rsidR="00C67E04" w:rsidRPr="00CA32FD">
        <w:rPr>
          <w:rFonts w:ascii="Arial" w:hAnsi="Arial" w:cs="Arial"/>
        </w:rPr>
        <w:t>, con particolare riferimento al CDM,</w:t>
      </w:r>
      <w:r w:rsidR="00701D8F" w:rsidRPr="00CA32FD">
        <w:rPr>
          <w:rFonts w:ascii="Arial" w:hAnsi="Arial" w:cs="Arial"/>
        </w:rPr>
        <w:t xml:space="preserve"> si veda il capitolo </w:t>
      </w:r>
      <w:r w:rsidR="00570C21" w:rsidRPr="00CA32FD">
        <w:rPr>
          <w:rFonts w:ascii="Arial" w:hAnsi="Arial" w:cs="Arial"/>
        </w:rPr>
        <w:t>9.</w:t>
      </w:r>
    </w:p>
  </w:footnote>
  <w:footnote w:id="18">
    <w:p w14:paraId="21FFBBAC" w14:textId="6C35A7D7" w:rsidR="003D3AA9" w:rsidRPr="00CA32FD" w:rsidRDefault="003D3AA9" w:rsidP="00CA32F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La traiettoria </w:t>
      </w:r>
      <w:r w:rsidR="00610FF9" w:rsidRPr="00CA32FD">
        <w:rPr>
          <w:rFonts w:ascii="Arial" w:hAnsi="Arial" w:cs="Arial"/>
        </w:rPr>
        <w:t xml:space="preserve">dei ribassi annuali è definita nel Regolamento 842/2018 e </w:t>
      </w:r>
      <w:r w:rsidR="00267811" w:rsidRPr="00CA32FD">
        <w:rPr>
          <w:rFonts w:ascii="Arial" w:hAnsi="Arial" w:cs="Arial"/>
        </w:rPr>
        <w:t xml:space="preserve">nei documenti successivi, </w:t>
      </w:r>
      <w:proofErr w:type="spellStart"/>
      <w:r w:rsidR="00267811" w:rsidRPr="00CA32FD">
        <w:rPr>
          <w:rFonts w:ascii="Arial" w:hAnsi="Arial" w:cs="Arial"/>
        </w:rPr>
        <w:t>come</w:t>
      </w:r>
      <w:r w:rsidR="00732289" w:rsidRPr="00CA32FD">
        <w:rPr>
          <w:rFonts w:ascii="Arial" w:hAnsi="Arial" w:cs="Arial"/>
        </w:rPr>
        <w:t>la</w:t>
      </w:r>
      <w:proofErr w:type="spellEnd"/>
      <w:r w:rsidR="00732289" w:rsidRPr="00CA32FD">
        <w:rPr>
          <w:rFonts w:ascii="Arial" w:hAnsi="Arial" w:cs="Arial"/>
        </w:rPr>
        <w:t xml:space="preserve"> Decisione UE 2015/1814</w:t>
      </w:r>
      <w:r w:rsidR="0008147B" w:rsidRPr="00CA32FD">
        <w:rPr>
          <w:rFonts w:ascii="Arial" w:hAnsi="Arial" w:cs="Arial"/>
        </w:rPr>
        <w:t>,</w:t>
      </w:r>
      <w:r w:rsidR="00267811" w:rsidRPr="00CA32FD">
        <w:rPr>
          <w:rFonts w:ascii="Arial" w:hAnsi="Arial" w:cs="Arial"/>
        </w:rPr>
        <w:t xml:space="preserve"> </w:t>
      </w:r>
      <w:r w:rsidR="008A7523" w:rsidRPr="00CA32FD">
        <w:rPr>
          <w:rFonts w:ascii="Arial" w:hAnsi="Arial" w:cs="Arial"/>
        </w:rPr>
        <w:t>la Direttiv</w:t>
      </w:r>
      <w:r w:rsidR="0008147B" w:rsidRPr="00CA32FD">
        <w:rPr>
          <w:rFonts w:ascii="Arial" w:hAnsi="Arial" w:cs="Arial"/>
        </w:rPr>
        <w:t>a</w:t>
      </w:r>
      <w:r w:rsidR="008A7523" w:rsidRPr="00CA32FD">
        <w:rPr>
          <w:rFonts w:ascii="Arial" w:hAnsi="Arial" w:cs="Arial"/>
        </w:rPr>
        <w:t xml:space="preserve"> UE 2018/410</w:t>
      </w:r>
      <w:r w:rsidR="0008147B" w:rsidRPr="00CA32FD">
        <w:rPr>
          <w:rFonts w:ascii="Arial" w:hAnsi="Arial" w:cs="Arial"/>
        </w:rPr>
        <w:t xml:space="preserve"> e il</w:t>
      </w:r>
      <w:r w:rsidR="00267811" w:rsidRPr="00CA32FD">
        <w:rPr>
          <w:rFonts w:ascii="Arial" w:hAnsi="Arial" w:cs="Arial"/>
        </w:rPr>
        <w:t xml:space="preserve"> Regolamento 1999/2018.</w:t>
      </w:r>
    </w:p>
  </w:footnote>
  <w:footnote w:id="19">
    <w:p w14:paraId="6BF31671" w14:textId="39D9C744" w:rsidR="003E4FD1" w:rsidRPr="00CA32FD" w:rsidRDefault="003E4FD1" w:rsidP="00CA32F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Alcuni Paesi come la Germania hanno delle proprie piattaforme, ma </w:t>
      </w:r>
      <w:r w:rsidR="00EF4ADA" w:rsidRPr="00CA32FD">
        <w:rPr>
          <w:rFonts w:ascii="Arial" w:hAnsi="Arial" w:cs="Arial"/>
        </w:rPr>
        <w:t xml:space="preserve">sono comunque </w:t>
      </w:r>
      <w:r w:rsidR="00BC5021" w:rsidRPr="00CA32FD">
        <w:rPr>
          <w:rFonts w:ascii="Arial" w:hAnsi="Arial" w:cs="Arial"/>
        </w:rPr>
        <w:t xml:space="preserve">integrate con il sistema CAP. </w:t>
      </w:r>
    </w:p>
  </w:footnote>
  <w:footnote w:id="20">
    <w:p w14:paraId="6A95C0F9" w14:textId="0E7173A3" w:rsidR="00DD5BA9" w:rsidRPr="00CA32FD" w:rsidRDefault="00DD5BA9" w:rsidP="00CA32F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Per le imp</w:t>
      </w:r>
      <w:r w:rsidR="00530233" w:rsidRPr="00CA32FD">
        <w:rPr>
          <w:rFonts w:ascii="Arial" w:hAnsi="Arial" w:cs="Arial"/>
        </w:rPr>
        <w:t>r</w:t>
      </w:r>
      <w:r w:rsidRPr="00CA32FD">
        <w:rPr>
          <w:rFonts w:ascii="Arial" w:hAnsi="Arial" w:cs="Arial"/>
        </w:rPr>
        <w:t xml:space="preserve">ese che producono energia sono già azzerate </w:t>
      </w:r>
      <w:r w:rsidR="00D34F03" w:rsidRPr="00CA32FD">
        <w:rPr>
          <w:rFonts w:ascii="Arial" w:hAnsi="Arial" w:cs="Arial"/>
        </w:rPr>
        <w:t>dal 20</w:t>
      </w:r>
      <w:r w:rsidR="00BD02D4" w:rsidRPr="00CA32FD">
        <w:rPr>
          <w:rFonts w:ascii="Arial" w:hAnsi="Arial" w:cs="Arial"/>
        </w:rPr>
        <w:t>2</w:t>
      </w:r>
      <w:r w:rsidR="00D34F03" w:rsidRPr="00CA32FD">
        <w:rPr>
          <w:rFonts w:ascii="Arial" w:hAnsi="Arial" w:cs="Arial"/>
        </w:rPr>
        <w:t xml:space="preserve">1: in pratica, qualunque impresa </w:t>
      </w:r>
      <w:proofErr w:type="spellStart"/>
      <w:r w:rsidR="00D34F03" w:rsidRPr="00CA32FD">
        <w:rPr>
          <w:rFonts w:ascii="Arial" w:hAnsi="Arial" w:cs="Arial"/>
        </w:rPr>
        <w:t>chevuole</w:t>
      </w:r>
      <w:proofErr w:type="spellEnd"/>
      <w:r w:rsidR="00D34F03" w:rsidRPr="00CA32FD">
        <w:rPr>
          <w:rFonts w:ascii="Arial" w:hAnsi="Arial" w:cs="Arial"/>
        </w:rPr>
        <w:t xml:space="preserve"> produrre energia o lo fa con fonti rinnovabili o per ogni tonnellata di emissione che genera utilizzando </w:t>
      </w:r>
      <w:r w:rsidR="00FA2593" w:rsidRPr="00CA32FD">
        <w:rPr>
          <w:rFonts w:ascii="Arial" w:hAnsi="Arial" w:cs="Arial"/>
        </w:rPr>
        <w:t xml:space="preserve">fonti non rinnovabili come i combustibili fossili, deve necessariamente acquistare delle EUA. </w:t>
      </w:r>
    </w:p>
  </w:footnote>
  <w:footnote w:id="21">
    <w:p w14:paraId="75AF1621" w14:textId="10D8BDB0" w:rsidR="003B5407" w:rsidRPr="00CA32FD" w:rsidRDefault="003B5407" w:rsidP="00CA32F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In Europa la maggior parte dei fondi sono impiegati in implementazione di nuovi investimenti sull’energia da fonti rinnovabili.</w:t>
      </w:r>
    </w:p>
  </w:footnote>
  <w:footnote w:id="22">
    <w:p w14:paraId="564CC998" w14:textId="42DF5257" w:rsidR="001C1436" w:rsidRPr="00CA32FD" w:rsidRDefault="001C1436" w:rsidP="00CA32FD">
      <w:pPr>
        <w:pStyle w:val="CM1"/>
        <w:jc w:val="both"/>
        <w:rPr>
          <w:rFonts w:ascii="Arial" w:hAnsi="Arial" w:cs="Arial"/>
          <w:sz w:val="20"/>
          <w:szCs w:val="20"/>
        </w:rPr>
      </w:pPr>
      <w:r w:rsidRPr="00CA32FD">
        <w:rPr>
          <w:rStyle w:val="Rimandonotaapidipagina"/>
          <w:rFonts w:ascii="Arial" w:hAnsi="Arial" w:cs="Arial"/>
          <w:sz w:val="20"/>
          <w:szCs w:val="20"/>
        </w:rPr>
        <w:footnoteRef/>
      </w:r>
      <w:r w:rsidRPr="00CA32FD">
        <w:rPr>
          <w:rFonts w:ascii="Arial" w:hAnsi="Arial" w:cs="Arial"/>
          <w:sz w:val="20"/>
          <w:szCs w:val="20"/>
        </w:rPr>
        <w:t xml:space="preserve"> </w:t>
      </w:r>
      <w:r w:rsidR="00634696" w:rsidRPr="00CA32FD">
        <w:rPr>
          <w:rFonts w:ascii="Arial" w:hAnsi="Arial" w:cs="Arial"/>
          <w:sz w:val="20"/>
          <w:szCs w:val="20"/>
        </w:rPr>
        <w:t>La definizione precisa di CER</w:t>
      </w:r>
      <w:r w:rsidR="00453A8C" w:rsidRPr="00CA32FD">
        <w:rPr>
          <w:rFonts w:ascii="Arial" w:hAnsi="Arial" w:cs="Arial"/>
          <w:sz w:val="20"/>
          <w:szCs w:val="20"/>
        </w:rPr>
        <w:t xml:space="preserve"> (Carbon </w:t>
      </w:r>
      <w:proofErr w:type="spellStart"/>
      <w:r w:rsidR="00453A8C" w:rsidRPr="00CA32FD">
        <w:rPr>
          <w:rFonts w:ascii="Arial" w:hAnsi="Arial" w:cs="Arial"/>
          <w:sz w:val="20"/>
          <w:szCs w:val="20"/>
        </w:rPr>
        <w:t>Emission</w:t>
      </w:r>
      <w:proofErr w:type="spellEnd"/>
      <w:r w:rsidR="00453A8C" w:rsidRPr="00CA32FD">
        <w:rPr>
          <w:rFonts w:ascii="Arial" w:hAnsi="Arial" w:cs="Arial"/>
          <w:sz w:val="20"/>
          <w:szCs w:val="20"/>
        </w:rPr>
        <w:t xml:space="preserve"> </w:t>
      </w:r>
      <w:proofErr w:type="spellStart"/>
      <w:r w:rsidR="00453A8C" w:rsidRPr="00CA32FD">
        <w:rPr>
          <w:rFonts w:ascii="Arial" w:hAnsi="Arial" w:cs="Arial"/>
          <w:sz w:val="20"/>
          <w:szCs w:val="20"/>
        </w:rPr>
        <w:t>Reduction</w:t>
      </w:r>
      <w:proofErr w:type="spellEnd"/>
      <w:r w:rsidR="00453A8C" w:rsidRPr="00CA32FD">
        <w:rPr>
          <w:rFonts w:ascii="Arial" w:hAnsi="Arial" w:cs="Arial"/>
          <w:sz w:val="20"/>
          <w:szCs w:val="20"/>
        </w:rPr>
        <w:t>)</w:t>
      </w:r>
      <w:r w:rsidR="00634696" w:rsidRPr="00CA32FD">
        <w:rPr>
          <w:rFonts w:ascii="Arial" w:hAnsi="Arial" w:cs="Arial"/>
          <w:sz w:val="20"/>
          <w:szCs w:val="20"/>
        </w:rPr>
        <w:t xml:space="preserve"> è la seguente</w:t>
      </w:r>
      <w:r w:rsidR="00634696" w:rsidRPr="00CA32FD">
        <w:rPr>
          <w:rFonts w:ascii="Arial" w:hAnsi="Arial" w:cs="Arial"/>
          <w:color w:val="000000"/>
          <w:sz w:val="20"/>
          <w:szCs w:val="20"/>
        </w:rPr>
        <w:t>: un’unità rilasciata ai sensi dell’articolo 12 del protocollo di Kyoto e delle relative prescrizioni nonché delle pertinenti disposizioni dell’allegato della decisione n. 13/CMP.1 o di altre pertinenti decisioni degli organi della convenzione UNFCCC o del protocollo di Kyoto</w:t>
      </w:r>
      <w:r w:rsidR="008D7EA8" w:rsidRPr="00CA32FD">
        <w:rPr>
          <w:rFonts w:ascii="Arial" w:hAnsi="Arial" w:cs="Arial"/>
          <w:color w:val="000000"/>
          <w:sz w:val="20"/>
          <w:szCs w:val="20"/>
        </w:rPr>
        <w:t xml:space="preserve">. Parimenti, per la definizione di </w:t>
      </w:r>
      <w:r w:rsidR="00D13F7A" w:rsidRPr="00CA32FD">
        <w:rPr>
          <w:rFonts w:ascii="Arial" w:hAnsi="Arial" w:cs="Arial"/>
          <w:color w:val="000000"/>
          <w:sz w:val="20"/>
          <w:szCs w:val="20"/>
        </w:rPr>
        <w:t>ERU</w:t>
      </w:r>
      <w:r w:rsidR="00453A8C" w:rsidRPr="00CA32FD">
        <w:rPr>
          <w:rFonts w:ascii="Arial" w:hAnsi="Arial" w:cs="Arial"/>
          <w:color w:val="000000"/>
          <w:sz w:val="20"/>
          <w:szCs w:val="20"/>
        </w:rPr>
        <w:t xml:space="preserve"> (</w:t>
      </w:r>
      <w:proofErr w:type="spellStart"/>
      <w:r w:rsidR="00453A8C" w:rsidRPr="00CA32FD">
        <w:rPr>
          <w:rFonts w:ascii="Arial" w:hAnsi="Arial" w:cs="Arial"/>
          <w:color w:val="000000"/>
          <w:sz w:val="20"/>
          <w:szCs w:val="20"/>
        </w:rPr>
        <w:t>Emission</w:t>
      </w:r>
      <w:proofErr w:type="spellEnd"/>
      <w:r w:rsidR="00453A8C" w:rsidRPr="00CA32FD">
        <w:rPr>
          <w:rFonts w:ascii="Arial" w:hAnsi="Arial" w:cs="Arial"/>
          <w:color w:val="000000"/>
          <w:sz w:val="20"/>
          <w:szCs w:val="20"/>
        </w:rPr>
        <w:t xml:space="preserve"> </w:t>
      </w:r>
      <w:proofErr w:type="spellStart"/>
      <w:r w:rsidR="00453A8C" w:rsidRPr="00CA32FD">
        <w:rPr>
          <w:rFonts w:ascii="Arial" w:hAnsi="Arial" w:cs="Arial"/>
          <w:color w:val="000000"/>
          <w:sz w:val="20"/>
          <w:szCs w:val="20"/>
        </w:rPr>
        <w:t>Reduction</w:t>
      </w:r>
      <w:proofErr w:type="spellEnd"/>
      <w:r w:rsidR="00453A8C" w:rsidRPr="00CA32FD">
        <w:rPr>
          <w:rFonts w:ascii="Arial" w:hAnsi="Arial" w:cs="Arial"/>
          <w:color w:val="000000"/>
          <w:sz w:val="20"/>
          <w:szCs w:val="20"/>
        </w:rPr>
        <w:t xml:space="preserve"> Unit)</w:t>
      </w:r>
      <w:r w:rsidR="00D13F7A" w:rsidRPr="00CA32FD">
        <w:rPr>
          <w:rFonts w:ascii="Arial" w:hAnsi="Arial" w:cs="Arial"/>
          <w:color w:val="000000"/>
          <w:sz w:val="20"/>
          <w:szCs w:val="20"/>
        </w:rPr>
        <w:t>: un’unità rilasciata ai sensi delle pertinenti disposizioni dell’allegato della decisione n. 13/CMP.1 o di altre pertinenti decisioni degli organi della convenzione UNFCCC o del protocollo di Kyoto</w:t>
      </w:r>
      <w:r w:rsidR="008D7EA8" w:rsidRPr="00CA32FD">
        <w:rPr>
          <w:rFonts w:ascii="Arial" w:hAnsi="Arial" w:cs="Arial"/>
          <w:color w:val="000000"/>
          <w:sz w:val="20"/>
          <w:szCs w:val="20"/>
        </w:rPr>
        <w:t>.</w:t>
      </w:r>
    </w:p>
  </w:footnote>
  <w:footnote w:id="23">
    <w:p w14:paraId="1AE1AFFD" w14:textId="2052A31F" w:rsidR="00D25422" w:rsidRPr="00CA32FD" w:rsidRDefault="00D25422" w:rsidP="00CA32F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L’orientamento più recente è che il settore dei trasporti e quello dell’edilizia siano inseriti in futuro nell’EU ETS. </w:t>
      </w:r>
    </w:p>
  </w:footnote>
  <w:footnote w:id="24">
    <w:p w14:paraId="03F3FF88" w14:textId="0D147553" w:rsidR="00F17F69" w:rsidRPr="00CA32FD" w:rsidRDefault="00F17F69" w:rsidP="00CA32F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Ad esempio, gli incentivi che sono stati dati in Italia e in molti altri SM per la costruzione di impianti fotovoltaici è un esempio di </w:t>
      </w:r>
      <w:r w:rsidR="003B665B" w:rsidRPr="00CA32FD">
        <w:rPr>
          <w:rFonts w:ascii="Arial" w:hAnsi="Arial" w:cs="Arial"/>
        </w:rPr>
        <w:t xml:space="preserve">queste attività. </w:t>
      </w:r>
    </w:p>
  </w:footnote>
  <w:footnote w:id="25">
    <w:p w14:paraId="759FA1FD" w14:textId="4D3A8CF0" w:rsidR="00EA6071" w:rsidRPr="00CA32FD" w:rsidRDefault="00EA6071" w:rsidP="00CA32F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Recentemente questo limite è stato portato al 55% con il </w:t>
      </w:r>
      <w:r w:rsidR="00C10A70" w:rsidRPr="00CA32FD">
        <w:rPr>
          <w:rFonts w:ascii="Arial" w:hAnsi="Arial" w:cs="Arial"/>
        </w:rPr>
        <w:t xml:space="preserve">COM (2020) 562 </w:t>
      </w:r>
      <w:proofErr w:type="spellStart"/>
      <w:r w:rsidR="00C10A70" w:rsidRPr="00CA32FD">
        <w:rPr>
          <w:rFonts w:ascii="Arial" w:hAnsi="Arial" w:cs="Arial"/>
        </w:rPr>
        <w:t>final</w:t>
      </w:r>
      <w:proofErr w:type="spellEnd"/>
      <w:r w:rsidR="00C10A70" w:rsidRPr="00CA32FD">
        <w:rPr>
          <w:rFonts w:ascii="Arial" w:hAnsi="Arial" w:cs="Arial"/>
        </w:rPr>
        <w:t>/2 della Commissione Europea.</w:t>
      </w:r>
    </w:p>
  </w:footnote>
  <w:footnote w:id="26">
    <w:p w14:paraId="67E0D62F" w14:textId="1835367B" w:rsidR="00CF0F3B" w:rsidRPr="00CA32FD" w:rsidRDefault="00CF0F3B" w:rsidP="00CA32F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Le regole del CDM verranno esposte nel capitolo </w:t>
      </w:r>
      <w:r w:rsidR="005133F2" w:rsidRPr="00CA32FD">
        <w:rPr>
          <w:rFonts w:ascii="Arial" w:hAnsi="Arial" w:cs="Arial"/>
        </w:rPr>
        <w:t>9</w:t>
      </w:r>
      <w:r w:rsidRPr="00CA32FD">
        <w:rPr>
          <w:rFonts w:ascii="Arial" w:hAnsi="Arial" w:cs="Arial"/>
        </w:rPr>
        <w:t>.</w:t>
      </w:r>
    </w:p>
  </w:footnote>
  <w:footnote w:id="27">
    <w:p w14:paraId="32D9EC70" w14:textId="7F1741A2" w:rsidR="00A160AB" w:rsidRPr="00CA32FD" w:rsidRDefault="00A160AB" w:rsidP="00CA32F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w:t>
      </w:r>
      <w:r w:rsidR="001C4391" w:rsidRPr="00CA32FD">
        <w:rPr>
          <w:rFonts w:ascii="Arial" w:hAnsi="Arial" w:cs="Arial"/>
        </w:rPr>
        <w:t>Si tratta dei Paesi che sono esclusi dall’</w:t>
      </w:r>
      <w:proofErr w:type="spellStart"/>
      <w:r w:rsidR="001C4391" w:rsidRPr="00CA32FD">
        <w:rPr>
          <w:rFonts w:ascii="Arial" w:hAnsi="Arial" w:cs="Arial"/>
        </w:rPr>
        <w:t>Anne</w:t>
      </w:r>
      <w:r w:rsidR="00B44AA3" w:rsidRPr="00CA32FD">
        <w:rPr>
          <w:rFonts w:ascii="Arial" w:hAnsi="Arial" w:cs="Arial"/>
        </w:rPr>
        <w:t>x</w:t>
      </w:r>
      <w:proofErr w:type="spellEnd"/>
      <w:r w:rsidR="001C4391" w:rsidRPr="00CA32FD">
        <w:rPr>
          <w:rFonts w:ascii="Arial" w:hAnsi="Arial" w:cs="Arial"/>
        </w:rPr>
        <w:t xml:space="preserve"> I del Protocollo di Kyoto. </w:t>
      </w:r>
    </w:p>
  </w:footnote>
  <w:footnote w:id="28">
    <w:p w14:paraId="11687562" w14:textId="5E36DC03" w:rsidR="00C03358" w:rsidRPr="00CA32FD" w:rsidRDefault="00C03358" w:rsidP="00CA32F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I settori </w:t>
      </w:r>
      <w:r w:rsidR="00D11D72" w:rsidRPr="00CA32FD">
        <w:rPr>
          <w:rFonts w:ascii="Arial" w:hAnsi="Arial" w:cs="Arial"/>
        </w:rPr>
        <w:t>ESR</w:t>
      </w:r>
      <w:r w:rsidRPr="00CA32FD">
        <w:rPr>
          <w:rFonts w:ascii="Arial" w:hAnsi="Arial" w:cs="Arial"/>
        </w:rPr>
        <w:t xml:space="preserve"> sono </w:t>
      </w:r>
      <w:r w:rsidR="00C15E7A" w:rsidRPr="00CA32FD">
        <w:rPr>
          <w:rFonts w:ascii="Arial" w:hAnsi="Arial" w:cs="Arial"/>
        </w:rPr>
        <w:t>quelli che si inquadrano nell’</w:t>
      </w:r>
      <w:proofErr w:type="spellStart"/>
      <w:r w:rsidR="00C15E7A" w:rsidRPr="00CA32FD">
        <w:rPr>
          <w:rFonts w:ascii="Arial" w:hAnsi="Arial" w:cs="Arial"/>
        </w:rPr>
        <w:t>Effort</w:t>
      </w:r>
      <w:proofErr w:type="spellEnd"/>
      <w:r w:rsidR="00C15E7A" w:rsidRPr="00CA32FD">
        <w:rPr>
          <w:rFonts w:ascii="Arial" w:hAnsi="Arial" w:cs="Arial"/>
        </w:rPr>
        <w:t xml:space="preserve"> Sharing </w:t>
      </w:r>
      <w:proofErr w:type="spellStart"/>
      <w:r w:rsidR="00C15E7A" w:rsidRPr="00CA32FD">
        <w:rPr>
          <w:rFonts w:ascii="Arial" w:hAnsi="Arial" w:cs="Arial"/>
        </w:rPr>
        <w:t>Regulation</w:t>
      </w:r>
      <w:proofErr w:type="spellEnd"/>
      <w:r w:rsidR="00695627" w:rsidRPr="00CA32FD">
        <w:rPr>
          <w:rFonts w:ascii="Arial" w:hAnsi="Arial" w:cs="Arial"/>
        </w:rPr>
        <w:t xml:space="preserve"> e sono principalmente trasport</w:t>
      </w:r>
      <w:r w:rsidR="00F42A64" w:rsidRPr="00CA32FD">
        <w:rPr>
          <w:rFonts w:ascii="Arial" w:hAnsi="Arial" w:cs="Arial"/>
        </w:rPr>
        <w:t>i</w:t>
      </w:r>
      <w:r w:rsidR="00695627" w:rsidRPr="00CA32FD">
        <w:rPr>
          <w:rFonts w:ascii="Arial" w:hAnsi="Arial" w:cs="Arial"/>
        </w:rPr>
        <w:t>, rifiuti, agricoltura</w:t>
      </w:r>
      <w:r w:rsidR="001A75ED" w:rsidRPr="00CA32FD">
        <w:rPr>
          <w:rFonts w:ascii="Arial" w:hAnsi="Arial" w:cs="Arial"/>
        </w:rPr>
        <w:t xml:space="preserve"> e altri dai quali provengono circa il 30% delle emissioni</w:t>
      </w:r>
      <w:r w:rsidR="00CC7D64" w:rsidRPr="00CA32FD">
        <w:rPr>
          <w:rFonts w:ascii="Arial" w:hAnsi="Arial" w:cs="Arial"/>
        </w:rPr>
        <w:t xml:space="preserve"> europee</w:t>
      </w:r>
      <w:r w:rsidR="00F42A64" w:rsidRPr="00CA32FD">
        <w:rPr>
          <w:rFonts w:ascii="Arial" w:hAnsi="Arial" w:cs="Arial"/>
        </w:rPr>
        <w:t>.</w:t>
      </w:r>
    </w:p>
  </w:footnote>
  <w:footnote w:id="29">
    <w:p w14:paraId="6D4B8E57" w14:textId="39BC1F1E" w:rsidR="00C349FC" w:rsidRPr="00CA32FD" w:rsidRDefault="00C349FC" w:rsidP="00CA32FD">
      <w:pPr>
        <w:widowControl/>
        <w:adjustRightInd w:val="0"/>
        <w:jc w:val="both"/>
        <w:rPr>
          <w:rFonts w:ascii="Arial" w:hAnsi="Arial" w:cs="Arial"/>
          <w:sz w:val="20"/>
          <w:szCs w:val="20"/>
        </w:rPr>
      </w:pPr>
      <w:r w:rsidRPr="00CA32FD">
        <w:rPr>
          <w:rStyle w:val="Rimandonotaapidipagina"/>
          <w:rFonts w:ascii="Arial" w:hAnsi="Arial" w:cs="Arial"/>
          <w:sz w:val="20"/>
          <w:szCs w:val="20"/>
        </w:rPr>
        <w:footnoteRef/>
      </w:r>
      <w:r w:rsidR="007A7303" w:rsidRPr="00CA32FD">
        <w:rPr>
          <w:rFonts w:ascii="Arial" w:hAnsi="Arial" w:cs="Arial"/>
          <w:sz w:val="20"/>
          <w:szCs w:val="20"/>
        </w:rPr>
        <w:t xml:space="preserve"> </w:t>
      </w:r>
      <w:r w:rsidRPr="00CA32FD">
        <w:rPr>
          <w:rFonts w:ascii="Arial" w:hAnsi="Arial" w:cs="Arial"/>
          <w:sz w:val="20"/>
          <w:szCs w:val="20"/>
        </w:rPr>
        <w:t xml:space="preserve">Regolamento </w:t>
      </w:r>
      <w:r w:rsidR="00483DBF" w:rsidRPr="00CA32FD">
        <w:rPr>
          <w:rFonts w:ascii="Arial" w:hAnsi="Arial" w:cs="Arial"/>
          <w:sz w:val="20"/>
          <w:szCs w:val="20"/>
        </w:rPr>
        <w:t xml:space="preserve">842/2018 </w:t>
      </w:r>
      <w:r w:rsidR="00BE55FA" w:rsidRPr="00CA32FD">
        <w:rPr>
          <w:rFonts w:ascii="Arial" w:eastAsiaTheme="minorHAnsi" w:hAnsi="Arial" w:cs="Arial"/>
          <w:sz w:val="20"/>
          <w:szCs w:val="20"/>
        </w:rPr>
        <w:t>relativo alle riduzioni annuali vincolanti delle emissioni di gas serra a carico degli Stati membri nel periodo 2021-2030 come contributo all’azione per il clima per onorare gli impegni assunti a norma dell’accordo di Parigi e recante modifica del regolamento (UE) n. 525/2013</w:t>
      </w:r>
      <w:r w:rsidR="007A7303" w:rsidRPr="00CA32FD">
        <w:rPr>
          <w:rFonts w:ascii="Arial" w:eastAsiaTheme="minorHAnsi" w:hAnsi="Arial" w:cs="Arial"/>
          <w:sz w:val="20"/>
          <w:szCs w:val="20"/>
        </w:rPr>
        <w:t>.</w:t>
      </w:r>
    </w:p>
  </w:footnote>
  <w:footnote w:id="30">
    <w:p w14:paraId="39C68FFB" w14:textId="6D21AC40" w:rsidR="007A7303" w:rsidRPr="00CA32FD" w:rsidRDefault="007A7303" w:rsidP="00CA32FD">
      <w:pPr>
        <w:widowControl/>
        <w:adjustRightInd w:val="0"/>
        <w:jc w:val="both"/>
        <w:rPr>
          <w:rFonts w:ascii="Arial" w:hAnsi="Arial" w:cs="Arial"/>
          <w:sz w:val="20"/>
          <w:szCs w:val="20"/>
        </w:rPr>
      </w:pPr>
      <w:r w:rsidRPr="00CA32FD">
        <w:rPr>
          <w:rStyle w:val="Rimandonotaapidipagina"/>
          <w:rFonts w:ascii="Arial" w:hAnsi="Arial" w:cs="Arial"/>
          <w:sz w:val="20"/>
          <w:szCs w:val="20"/>
        </w:rPr>
        <w:footnoteRef/>
      </w:r>
      <w:r w:rsidRPr="00CA32FD">
        <w:rPr>
          <w:rFonts w:ascii="Arial" w:hAnsi="Arial" w:cs="Arial"/>
          <w:sz w:val="20"/>
          <w:szCs w:val="20"/>
        </w:rPr>
        <w:t xml:space="preserve"> Regolamento 841/2018 </w:t>
      </w:r>
      <w:r w:rsidR="0068125D" w:rsidRPr="00CA32FD">
        <w:rPr>
          <w:rFonts w:ascii="Arial" w:eastAsiaTheme="minorHAnsi" w:hAnsi="Arial" w:cs="Arial"/>
          <w:sz w:val="20"/>
          <w:szCs w:val="20"/>
        </w:rPr>
        <w:t>relativo all’inclusione delle emissioni e degli assorbimenti di gas a effetto serra risultanti dall’uso del suolo, dal cambiamento di uso del suolo e dalla silvicoltura nel quadro 2030 per il clima e l’energia, e recante modifica del regolamento (UE) n. 525/2013 e della decisione n. 529/2013/UE</w:t>
      </w:r>
      <w:r w:rsidR="00D7111E" w:rsidRPr="00CA32FD">
        <w:rPr>
          <w:rFonts w:ascii="Arial" w:eastAsiaTheme="minorHAnsi" w:hAnsi="Arial" w:cs="Arial"/>
          <w:sz w:val="20"/>
          <w:szCs w:val="20"/>
        </w:rPr>
        <w:t>.</w:t>
      </w:r>
    </w:p>
  </w:footnote>
  <w:footnote w:id="31">
    <w:p w14:paraId="2BD64725" w14:textId="1554D17A" w:rsidR="003F0EB2" w:rsidRPr="00CA32FD" w:rsidRDefault="003F0EB2" w:rsidP="00CA32F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Nell’ambito dei Green </w:t>
      </w:r>
      <w:proofErr w:type="spellStart"/>
      <w:r w:rsidRPr="00CA32FD">
        <w:rPr>
          <w:rFonts w:ascii="Arial" w:hAnsi="Arial" w:cs="Arial"/>
        </w:rPr>
        <w:t>Deal</w:t>
      </w:r>
      <w:proofErr w:type="spellEnd"/>
      <w:r w:rsidRPr="00CA32FD">
        <w:rPr>
          <w:rFonts w:ascii="Arial" w:hAnsi="Arial" w:cs="Arial"/>
        </w:rPr>
        <w:t xml:space="preserve"> è previsto un piano </w:t>
      </w:r>
      <w:r w:rsidR="00B73136" w:rsidRPr="00CA32FD">
        <w:rPr>
          <w:rFonts w:ascii="Arial" w:hAnsi="Arial" w:cs="Arial"/>
        </w:rPr>
        <w:t xml:space="preserve">di revisione di tutta la normativa inerente </w:t>
      </w:r>
      <w:proofErr w:type="gramStart"/>
      <w:r w:rsidR="00B73136" w:rsidRPr="00CA32FD">
        <w:rPr>
          <w:rFonts w:ascii="Arial" w:hAnsi="Arial" w:cs="Arial"/>
        </w:rPr>
        <w:t>il</w:t>
      </w:r>
      <w:proofErr w:type="gramEnd"/>
      <w:r w:rsidR="00B73136" w:rsidRPr="00CA32FD">
        <w:rPr>
          <w:rFonts w:ascii="Arial" w:hAnsi="Arial" w:cs="Arial"/>
        </w:rPr>
        <w:t xml:space="preserve"> Clima, tra cui anche quella inerente il settore LULUCF, che è programmata per giugno 2021. In attesa di questa </w:t>
      </w:r>
      <w:r w:rsidR="00160126" w:rsidRPr="00CA32FD">
        <w:rPr>
          <w:rFonts w:ascii="Arial" w:hAnsi="Arial" w:cs="Arial"/>
        </w:rPr>
        <w:t xml:space="preserve">revisione, le norme esposte attualmente sono quelle di maggior rilievo per il settore LULUCF. </w:t>
      </w:r>
    </w:p>
  </w:footnote>
  <w:footnote w:id="32">
    <w:p w14:paraId="28CAF931" w14:textId="6EFE0885" w:rsidR="009476FF" w:rsidRPr="00CA32FD" w:rsidRDefault="009476FF" w:rsidP="00CA32FD">
      <w:pPr>
        <w:pStyle w:val="Default"/>
        <w:jc w:val="both"/>
        <w:rPr>
          <w:rFonts w:ascii="Arial" w:hAnsi="Arial" w:cs="Arial"/>
          <w:sz w:val="20"/>
          <w:szCs w:val="20"/>
        </w:rPr>
      </w:pPr>
      <w:r w:rsidRPr="00CA32FD">
        <w:rPr>
          <w:rStyle w:val="Rimandonotaapidipagina"/>
          <w:rFonts w:ascii="Arial" w:hAnsi="Arial" w:cs="Arial"/>
          <w:sz w:val="20"/>
          <w:szCs w:val="20"/>
        </w:rPr>
        <w:footnoteRef/>
      </w:r>
      <w:r w:rsidRPr="00CA32FD">
        <w:rPr>
          <w:rFonts w:ascii="Arial" w:hAnsi="Arial" w:cs="Arial"/>
          <w:sz w:val="20"/>
          <w:szCs w:val="20"/>
        </w:rPr>
        <w:t xml:space="preserve"> Rego</w:t>
      </w:r>
      <w:r w:rsidR="00E926A6" w:rsidRPr="00CA32FD">
        <w:rPr>
          <w:rFonts w:ascii="Arial" w:hAnsi="Arial" w:cs="Arial"/>
          <w:sz w:val="20"/>
          <w:szCs w:val="20"/>
        </w:rPr>
        <w:t xml:space="preserve">lamento 525/2013 “relativo a un meccanismo di monitoraggio e comunicazione delle emissioni di gas a effetto serra e di comunicazione di altre informazioni in materia di cambiamenti climatici a livello nazionale e dell’Unione europea e che abroga la decisione n. 280/2004/CE” e Regolamento n. </w:t>
      </w:r>
      <w:r w:rsidR="0084267C" w:rsidRPr="00CA32FD">
        <w:rPr>
          <w:rFonts w:ascii="Arial" w:hAnsi="Arial" w:cs="Arial"/>
          <w:sz w:val="20"/>
          <w:szCs w:val="20"/>
        </w:rPr>
        <w:t xml:space="preserve">529/2013 </w:t>
      </w:r>
      <w:r w:rsidR="006165CA" w:rsidRPr="00CA32FD">
        <w:rPr>
          <w:rFonts w:ascii="Arial" w:hAnsi="Arial" w:cs="Arial"/>
          <w:sz w:val="20"/>
          <w:szCs w:val="20"/>
        </w:rPr>
        <w:t xml:space="preserve">“sulle norme di contabilizzazione </w:t>
      </w:r>
      <w:r w:rsidR="0070010E" w:rsidRPr="00CA32FD">
        <w:rPr>
          <w:rFonts w:ascii="Arial" w:hAnsi="Arial" w:cs="Arial"/>
          <w:sz w:val="20"/>
          <w:szCs w:val="20"/>
        </w:rPr>
        <w:t xml:space="preserve">relative alle emissioni e agli assorbimenti di gas serra risultanti da attività </w:t>
      </w:r>
      <w:r w:rsidR="00B143E8" w:rsidRPr="00CA32FD">
        <w:rPr>
          <w:rFonts w:ascii="Arial" w:hAnsi="Arial" w:cs="Arial"/>
          <w:sz w:val="20"/>
          <w:szCs w:val="20"/>
        </w:rPr>
        <w:t xml:space="preserve"> di uso del suolo, cambiamento di uso del suolo e silvicoltura e sulle informazioni relative alle azioni connesse a tali attività. </w:t>
      </w:r>
    </w:p>
  </w:footnote>
  <w:footnote w:id="33">
    <w:p w14:paraId="4D772422" w14:textId="44B2FBB0" w:rsidR="000A2E77" w:rsidRPr="00CA32FD" w:rsidRDefault="000A2E77" w:rsidP="00CA32F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Il 30 maggio 2018.</w:t>
      </w:r>
      <w:r w:rsidR="005160D7" w:rsidRPr="00CA32FD">
        <w:rPr>
          <w:rFonts w:ascii="Arial" w:hAnsi="Arial" w:cs="Arial"/>
        </w:rPr>
        <w:t xml:space="preserve"> Questo è accaduto anche per il Regolamento </w:t>
      </w:r>
      <w:r w:rsidR="00AD6558" w:rsidRPr="00CA32FD">
        <w:rPr>
          <w:rFonts w:ascii="Arial" w:hAnsi="Arial" w:cs="Arial"/>
        </w:rPr>
        <w:t xml:space="preserve">525/2013 e la Decisione UE 529/2013, uscite il 21 maggio 2013. </w:t>
      </w:r>
    </w:p>
  </w:footnote>
  <w:footnote w:id="34">
    <w:p w14:paraId="6EB20A29" w14:textId="77777777" w:rsidR="000A2E77" w:rsidRPr="00CA32FD" w:rsidRDefault="000A2E77" w:rsidP="00CA32F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Il Regolamento UE 525/2013 è stato abrogato dal Regolamento 2018/1999, dove sono state inserite le nuove regole di governance e il PNIEC. Il sistema di contabilizzazione è stato rimodulato e ampliato nel nuovo Regolamento, integrando anche i dati del Regolamento 841/2018. </w:t>
      </w:r>
    </w:p>
  </w:footnote>
  <w:footnote w:id="35">
    <w:p w14:paraId="2F83B3E5" w14:textId="6250FA56" w:rsidR="00AF0452" w:rsidRPr="00CA32FD" w:rsidRDefault="00AF0452" w:rsidP="00CA32F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La traiettori</w:t>
      </w:r>
      <w:r w:rsidR="00DD54C1" w:rsidRPr="00CA32FD">
        <w:rPr>
          <w:rFonts w:ascii="Arial" w:hAnsi="Arial" w:cs="Arial"/>
        </w:rPr>
        <w:t>a delle riduzioni</w:t>
      </w:r>
      <w:r w:rsidR="009D7FE3" w:rsidRPr="00CA32FD">
        <w:rPr>
          <w:rFonts w:ascii="Arial" w:hAnsi="Arial" w:cs="Arial"/>
        </w:rPr>
        <w:t xml:space="preserve"> per i due gruppi di settori</w:t>
      </w:r>
      <w:r w:rsidR="00E820F4" w:rsidRPr="00CA32FD">
        <w:rPr>
          <w:rFonts w:ascii="Arial" w:hAnsi="Arial" w:cs="Arial"/>
        </w:rPr>
        <w:t xml:space="preserve"> è del -43% per il mercato EU ETS nel 2030 rispetto al 2005 e del -</w:t>
      </w:r>
      <w:r w:rsidR="00EF6E19" w:rsidRPr="00CA32FD">
        <w:rPr>
          <w:rFonts w:ascii="Arial" w:hAnsi="Arial" w:cs="Arial"/>
        </w:rPr>
        <w:t xml:space="preserve">33% (per l’Italia) per i settori ESR. Ma media ponderata di questi due valori </w:t>
      </w:r>
      <w:r w:rsidR="000103E3" w:rsidRPr="00CA32FD">
        <w:rPr>
          <w:rFonts w:ascii="Arial" w:hAnsi="Arial" w:cs="Arial"/>
        </w:rPr>
        <w:t xml:space="preserve">porta alla riduzione delle emissioni totali del 40%, come stabilito dal Regolamento. </w:t>
      </w:r>
      <w:r w:rsidR="005F2D6B" w:rsidRPr="00CA32FD">
        <w:rPr>
          <w:rFonts w:ascii="Arial" w:hAnsi="Arial" w:cs="Arial"/>
        </w:rPr>
        <w:t>Per quanto riguarda i settori ESR, gli obbiettivi per singolo SM sono definiti nell’Allegato I del Regolamen</w:t>
      </w:r>
      <w:r w:rsidR="00FA11DF" w:rsidRPr="00CA32FD">
        <w:rPr>
          <w:rFonts w:ascii="Arial" w:hAnsi="Arial" w:cs="Arial"/>
        </w:rPr>
        <w:t>t</w:t>
      </w:r>
      <w:r w:rsidR="005F2D6B" w:rsidRPr="00CA32FD">
        <w:rPr>
          <w:rFonts w:ascii="Arial" w:hAnsi="Arial" w:cs="Arial"/>
        </w:rPr>
        <w:t>o</w:t>
      </w:r>
      <w:r w:rsidR="00FA11DF" w:rsidRPr="00CA32FD">
        <w:rPr>
          <w:rFonts w:ascii="Arial" w:hAnsi="Arial" w:cs="Arial"/>
        </w:rPr>
        <w:t xml:space="preserve"> 2018/842</w:t>
      </w:r>
      <w:r w:rsidR="005F2D6B" w:rsidRPr="00CA32FD">
        <w:rPr>
          <w:rFonts w:ascii="Arial" w:hAnsi="Arial" w:cs="Arial"/>
        </w:rPr>
        <w:t xml:space="preserve">: </w:t>
      </w:r>
      <w:r w:rsidR="001827AA" w:rsidRPr="00CA32FD">
        <w:rPr>
          <w:rFonts w:ascii="Arial" w:hAnsi="Arial" w:cs="Arial"/>
        </w:rPr>
        <w:t xml:space="preserve">Si ricorda che, dopo l’incremento dell’obbiettivo </w:t>
      </w:r>
      <w:r w:rsidR="002149DA" w:rsidRPr="00CA32FD">
        <w:rPr>
          <w:rFonts w:ascii="Arial" w:hAnsi="Arial" w:cs="Arial"/>
        </w:rPr>
        <w:t xml:space="preserve">a -55% con il Green </w:t>
      </w:r>
      <w:proofErr w:type="spellStart"/>
      <w:r w:rsidR="002149DA" w:rsidRPr="00CA32FD">
        <w:rPr>
          <w:rFonts w:ascii="Arial" w:hAnsi="Arial" w:cs="Arial"/>
        </w:rPr>
        <w:t>Deal</w:t>
      </w:r>
      <w:proofErr w:type="spellEnd"/>
      <w:r w:rsidR="002149DA" w:rsidRPr="00CA32FD">
        <w:rPr>
          <w:rFonts w:ascii="Arial" w:hAnsi="Arial" w:cs="Arial"/>
        </w:rPr>
        <w:t xml:space="preserve">, tali valori sono in fase di rinegoziazione. </w:t>
      </w:r>
    </w:p>
  </w:footnote>
  <w:footnote w:id="36">
    <w:p w14:paraId="2C55DD22" w14:textId="3C6A018A" w:rsidR="00FA11DF" w:rsidRPr="00CA32FD" w:rsidRDefault="00FA11DF" w:rsidP="00CA32F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Il superbonus 11% per gli edifici residenziali, volto a ridurre i consumi di energia </w:t>
      </w:r>
      <w:r w:rsidR="00D35F01" w:rsidRPr="00CA32FD">
        <w:rPr>
          <w:rFonts w:ascii="Arial" w:hAnsi="Arial" w:cs="Arial"/>
        </w:rPr>
        <w:t xml:space="preserve">elettrica e termica, è un tipico esempio dei processi che si stanno implementando negli SM. </w:t>
      </w:r>
    </w:p>
  </w:footnote>
  <w:footnote w:id="37">
    <w:p w14:paraId="6B1CF182" w14:textId="26378A2C" w:rsidR="00395E0E" w:rsidRPr="00CA32FD" w:rsidRDefault="00395E0E" w:rsidP="00CA32F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Regolamento 525/2013, art. 7 comma 1 punto </w:t>
      </w:r>
      <w:r w:rsidR="00FC5BB6" w:rsidRPr="00CA32FD">
        <w:rPr>
          <w:rFonts w:ascii="Arial" w:hAnsi="Arial" w:cs="Arial"/>
        </w:rPr>
        <w:t xml:space="preserve">d. </w:t>
      </w:r>
    </w:p>
  </w:footnote>
  <w:footnote w:id="38">
    <w:p w14:paraId="7655334C" w14:textId="094CB4B5" w:rsidR="00712463" w:rsidRPr="00CA32FD" w:rsidRDefault="00712463" w:rsidP="00CA32F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Per la definizione del BAU </w:t>
      </w:r>
      <w:r w:rsidR="00C255B1" w:rsidRPr="00CA32FD">
        <w:rPr>
          <w:rFonts w:ascii="Arial" w:hAnsi="Arial" w:cs="Arial"/>
        </w:rPr>
        <w:t xml:space="preserve">si veda dopo la discussione sui FRL. </w:t>
      </w:r>
    </w:p>
  </w:footnote>
  <w:footnote w:id="39">
    <w:p w14:paraId="501084AE" w14:textId="7A6B80D1" w:rsidR="00E3042C" w:rsidRPr="00CA32FD" w:rsidRDefault="00E3042C" w:rsidP="00CA32F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L’Irlanda, che è uno SM assai più piccolo dell’Italia, ha ottenuto </w:t>
      </w:r>
      <w:r w:rsidR="001761E9" w:rsidRPr="00CA32FD">
        <w:rPr>
          <w:rFonts w:ascii="Arial" w:hAnsi="Arial" w:cs="Arial"/>
        </w:rPr>
        <w:t>un valore di 26,8 milioni di tonnellate. Si veda l’Allegato III del Regolamento 2918/842.</w:t>
      </w:r>
    </w:p>
  </w:footnote>
  <w:footnote w:id="40">
    <w:p w14:paraId="11E5E16D" w14:textId="316DF361" w:rsidR="0079616E" w:rsidRPr="00CA32FD" w:rsidRDefault="0079616E" w:rsidP="00CA32F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Per la definizione di foresta, vengono dati parametri precisi nell’Allegato II, che variano da SM a SM. Per l’Italia sono i seguenti: Superficie in </w:t>
      </w:r>
      <w:r w:rsidR="002A7460" w:rsidRPr="00CA32FD">
        <w:rPr>
          <w:rFonts w:ascii="Arial" w:hAnsi="Arial" w:cs="Arial"/>
        </w:rPr>
        <w:t>h</w:t>
      </w:r>
      <w:r w:rsidRPr="00CA32FD">
        <w:rPr>
          <w:rFonts w:ascii="Arial" w:hAnsi="Arial" w:cs="Arial"/>
        </w:rPr>
        <w:t>a: 0.5, Copertura arborea in %:10%, Altezza Arborea: 5 m.</w:t>
      </w:r>
    </w:p>
  </w:footnote>
  <w:footnote w:id="41">
    <w:p w14:paraId="52F73EFA" w14:textId="77777777" w:rsidR="0079616E" w:rsidRPr="00CA32FD" w:rsidRDefault="0079616E" w:rsidP="00CA32F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Il 1990 è l’anno di riferimento per tutti gli SM; tranne che per alcuni Paesi dell’Est.</w:t>
      </w:r>
    </w:p>
  </w:footnote>
  <w:footnote w:id="42">
    <w:p w14:paraId="620A9488" w14:textId="77777777" w:rsidR="0079616E" w:rsidRPr="00CA32FD" w:rsidRDefault="0079616E" w:rsidP="00CA32FD">
      <w:pPr>
        <w:pStyle w:val="Corpotesto"/>
        <w:ind w:right="45"/>
        <w:jc w:val="both"/>
        <w:rPr>
          <w:rFonts w:ascii="Arial" w:hAnsi="Arial" w:cs="Arial"/>
          <w:sz w:val="20"/>
          <w:szCs w:val="20"/>
        </w:rPr>
      </w:pPr>
      <w:r w:rsidRPr="00CA32FD">
        <w:rPr>
          <w:rStyle w:val="Rimandonotaapidipagina"/>
          <w:rFonts w:ascii="Arial" w:hAnsi="Arial" w:cs="Arial"/>
          <w:sz w:val="20"/>
          <w:szCs w:val="20"/>
        </w:rPr>
        <w:footnoteRef/>
      </w:r>
      <w:r w:rsidRPr="00CA32FD">
        <w:rPr>
          <w:rFonts w:ascii="Arial" w:hAnsi="Arial" w:cs="Arial"/>
          <w:sz w:val="20"/>
          <w:szCs w:val="20"/>
        </w:rPr>
        <w:t xml:space="preserve"> Nella contabilizzazione della CO2 dei prodotti legnosi non si considera il legno importato, ma solo quello prodotto all’interno del Paese. </w:t>
      </w:r>
    </w:p>
    <w:p w14:paraId="4AF10BC2" w14:textId="77777777" w:rsidR="0079616E" w:rsidRPr="00CA32FD" w:rsidRDefault="0079616E" w:rsidP="00CA32FD">
      <w:pPr>
        <w:pStyle w:val="Testonotaapidipagina"/>
        <w:jc w:val="both"/>
        <w:rPr>
          <w:rFonts w:ascii="Arial" w:hAnsi="Arial" w:cs="Arial"/>
        </w:rPr>
      </w:pPr>
    </w:p>
  </w:footnote>
  <w:footnote w:id="43">
    <w:p w14:paraId="217A02A6" w14:textId="59E39700" w:rsidR="00993BB8" w:rsidRPr="00CA32FD" w:rsidRDefault="00993BB8" w:rsidP="00CA32F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Il FRL è calcolato come valore annuale</w:t>
      </w:r>
      <w:r w:rsidR="005A37BE" w:rsidRPr="00CA32FD">
        <w:rPr>
          <w:rFonts w:ascii="Arial" w:hAnsi="Arial" w:cs="Arial"/>
        </w:rPr>
        <w:t xml:space="preserve">. </w:t>
      </w:r>
    </w:p>
  </w:footnote>
  <w:footnote w:id="44">
    <w:p w14:paraId="7C740869" w14:textId="621EAECC" w:rsidR="00C06F3D" w:rsidRPr="00CA32FD" w:rsidRDefault="00C06F3D" w:rsidP="00CA32F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Va chiarito che I FRL non sono né un vincolo né un limite che non deve essere superato nelle scelte di gestione forestale sostenibile. </w:t>
      </w:r>
      <w:r w:rsidR="002A7460" w:rsidRPr="00CA32FD">
        <w:rPr>
          <w:rFonts w:ascii="Arial" w:hAnsi="Arial" w:cs="Arial"/>
        </w:rPr>
        <w:t>È</w:t>
      </w:r>
      <w:r w:rsidRPr="00CA32FD">
        <w:rPr>
          <w:rFonts w:ascii="Arial" w:hAnsi="Arial" w:cs="Arial"/>
        </w:rPr>
        <w:t xml:space="preserve"> solo un mezzo che consente di misurare meglio e in modo più trasparente gli effetti delle scelte di gestione forestale sostenibile.</w:t>
      </w:r>
    </w:p>
  </w:footnote>
  <w:footnote w:id="45">
    <w:p w14:paraId="198AFFF5" w14:textId="52059FE7" w:rsidR="00534676" w:rsidRPr="00CA32FD" w:rsidRDefault="00534676" w:rsidP="00CA32F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w:t>
      </w:r>
      <w:r w:rsidR="006264BB" w:rsidRPr="00CA32FD">
        <w:rPr>
          <w:rFonts w:ascii="Arial" w:hAnsi="Arial" w:cs="Arial"/>
        </w:rPr>
        <w:t>L’età delle foreste è un fattore suggerito ma non sempre seguito. In Italia Ispra ha utilizzato il modello for-est che si basa solo sulla biomassa e non sull’età delle foreste</w:t>
      </w:r>
      <w:r w:rsidR="00F04B52" w:rsidRPr="00CA32FD">
        <w:rPr>
          <w:rFonts w:ascii="Arial" w:hAnsi="Arial" w:cs="Arial"/>
        </w:rPr>
        <w:t>. Tale modello è stato scelto durante le prime fasi dell’applicazione del Protocollo di Kyoto all’Italia e per coerenza</w:t>
      </w:r>
      <w:r w:rsidR="009E650C" w:rsidRPr="00CA32FD">
        <w:rPr>
          <w:rFonts w:ascii="Arial" w:hAnsi="Arial" w:cs="Arial"/>
        </w:rPr>
        <w:t xml:space="preserve"> e confrontabilità tra i dati di anni differenti è stato mantenuto lo stesso modello. </w:t>
      </w:r>
    </w:p>
  </w:footnote>
  <w:footnote w:id="46">
    <w:p w14:paraId="0A739178" w14:textId="77777777" w:rsidR="00C06F3D" w:rsidRPr="00CA32FD" w:rsidRDefault="00C06F3D" w:rsidP="00CA32F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lang w:val="en-GB"/>
        </w:rPr>
        <w:t xml:space="preserve"> Commission expert group on Land Use, Land Use Change and Forestry (LULUCF) (E03638). </w:t>
      </w:r>
      <w:r w:rsidRPr="00CA32FD">
        <w:rPr>
          <w:rFonts w:ascii="Arial" w:hAnsi="Arial" w:cs="Arial"/>
        </w:rPr>
        <w:t xml:space="preserve">Assiste la DG Clima nell'analisi dei NFAP in relazione all'Art.8 Reg. (41/2018. Standing </w:t>
      </w:r>
      <w:proofErr w:type="spellStart"/>
      <w:r w:rsidRPr="00CA32FD">
        <w:rPr>
          <w:rFonts w:ascii="Arial" w:hAnsi="Arial" w:cs="Arial"/>
        </w:rPr>
        <w:t>Forest</w:t>
      </w:r>
      <w:proofErr w:type="spellEnd"/>
      <w:r w:rsidRPr="00CA32FD">
        <w:rPr>
          <w:rFonts w:ascii="Arial" w:hAnsi="Arial" w:cs="Arial"/>
        </w:rPr>
        <w:t xml:space="preserve"> Committee: attualmente svolge un ruolo di </w:t>
      </w:r>
      <w:proofErr w:type="spellStart"/>
      <w:r w:rsidRPr="00CA32FD">
        <w:rPr>
          <w:rFonts w:ascii="Arial" w:hAnsi="Arial" w:cs="Arial"/>
        </w:rPr>
        <w:t>Advisory</w:t>
      </w:r>
      <w:proofErr w:type="spellEnd"/>
      <w:r w:rsidRPr="00CA32FD">
        <w:rPr>
          <w:rFonts w:ascii="Arial" w:hAnsi="Arial" w:cs="Arial"/>
        </w:rPr>
        <w:t xml:space="preserve"> Board nella Strategia Forestale della UE. Viene consultato per la definizione dei FRL.</w:t>
      </w:r>
    </w:p>
  </w:footnote>
  <w:footnote w:id="47">
    <w:p w14:paraId="5B092957" w14:textId="5C895CC2" w:rsidR="0060162F" w:rsidRPr="00CA32FD" w:rsidRDefault="0060162F" w:rsidP="00CA32FD">
      <w:pPr>
        <w:pStyle w:val="Corpotesto"/>
        <w:ind w:right="45"/>
        <w:jc w:val="both"/>
        <w:rPr>
          <w:rFonts w:ascii="Arial" w:hAnsi="Arial" w:cs="Arial"/>
          <w:sz w:val="20"/>
          <w:szCs w:val="20"/>
        </w:rPr>
      </w:pPr>
      <w:r w:rsidRPr="00CA32FD">
        <w:rPr>
          <w:rStyle w:val="Rimandonotaapidipagina"/>
          <w:rFonts w:ascii="Arial" w:hAnsi="Arial" w:cs="Arial"/>
          <w:sz w:val="20"/>
          <w:szCs w:val="20"/>
        </w:rPr>
        <w:footnoteRef/>
      </w:r>
      <w:r w:rsidRPr="00CA32FD">
        <w:rPr>
          <w:rFonts w:ascii="Arial" w:hAnsi="Arial" w:cs="Arial"/>
          <w:sz w:val="20"/>
          <w:szCs w:val="20"/>
        </w:rPr>
        <w:t xml:space="preserve"> L’art. 9 dello stesso Regolamento 842 precisa al secondo paragrafo, che l’Amministratore Centrale di Registro deduce dall’assegnazione annuale di emissioni dello SM una quantità pari alle emissioni in eccedenza di gas serra espresse in Ton di CO2 equivalenti. </w:t>
      </w:r>
    </w:p>
  </w:footnote>
  <w:footnote w:id="48">
    <w:p w14:paraId="5A7CC367" w14:textId="66ED01C6" w:rsidR="003107C1" w:rsidRPr="00CA32FD" w:rsidRDefault="003107C1" w:rsidP="00CA32FD">
      <w:pPr>
        <w:widowControl/>
        <w:adjustRightInd w:val="0"/>
        <w:jc w:val="both"/>
        <w:rPr>
          <w:rFonts w:ascii="Arial" w:hAnsi="Arial" w:cs="Arial"/>
          <w:sz w:val="20"/>
          <w:szCs w:val="20"/>
          <w:lang w:val="en-GB"/>
        </w:rPr>
      </w:pPr>
      <w:r w:rsidRPr="00CA32FD">
        <w:rPr>
          <w:rStyle w:val="Rimandonotaapidipagina"/>
          <w:rFonts w:ascii="Arial" w:hAnsi="Arial" w:cs="Arial"/>
          <w:sz w:val="20"/>
          <w:szCs w:val="20"/>
        </w:rPr>
        <w:footnoteRef/>
      </w:r>
      <w:r w:rsidRPr="00CA32FD">
        <w:rPr>
          <w:rFonts w:ascii="Arial" w:hAnsi="Arial" w:cs="Arial"/>
          <w:sz w:val="20"/>
          <w:szCs w:val="20"/>
          <w:lang w:val="en-GB"/>
        </w:rPr>
        <w:t xml:space="preserve"> </w:t>
      </w:r>
      <w:r w:rsidRPr="00CA32FD">
        <w:rPr>
          <w:rFonts w:ascii="Arial" w:eastAsiaTheme="minorHAnsi" w:hAnsi="Arial" w:cs="Arial"/>
          <w:sz w:val="20"/>
          <w:szCs w:val="20"/>
          <w:lang w:val="en-GB"/>
        </w:rPr>
        <w:t>Guidance on developing and</w:t>
      </w:r>
      <w:r w:rsidR="00EA7B3F" w:rsidRPr="00CA32FD">
        <w:rPr>
          <w:rFonts w:ascii="Arial" w:eastAsiaTheme="minorHAnsi" w:hAnsi="Arial" w:cs="Arial"/>
          <w:sz w:val="20"/>
          <w:szCs w:val="20"/>
          <w:lang w:val="en-GB"/>
        </w:rPr>
        <w:t xml:space="preserve"> </w:t>
      </w:r>
      <w:r w:rsidRPr="00CA32FD">
        <w:rPr>
          <w:rFonts w:ascii="Arial" w:eastAsiaTheme="minorHAnsi" w:hAnsi="Arial" w:cs="Arial"/>
          <w:sz w:val="20"/>
          <w:szCs w:val="20"/>
          <w:lang w:val="en-GB"/>
        </w:rPr>
        <w:t>reporting Forest Reference Levels in</w:t>
      </w:r>
      <w:r w:rsidR="00EA7B3F" w:rsidRPr="00CA32FD">
        <w:rPr>
          <w:rFonts w:ascii="Arial" w:eastAsiaTheme="minorHAnsi" w:hAnsi="Arial" w:cs="Arial"/>
          <w:sz w:val="20"/>
          <w:szCs w:val="20"/>
          <w:lang w:val="en-GB"/>
        </w:rPr>
        <w:t xml:space="preserve"> </w:t>
      </w:r>
      <w:r w:rsidRPr="00CA32FD">
        <w:rPr>
          <w:rFonts w:ascii="Arial" w:eastAsiaTheme="minorHAnsi" w:hAnsi="Arial" w:cs="Arial"/>
          <w:sz w:val="20"/>
          <w:szCs w:val="20"/>
          <w:lang w:val="en-GB"/>
        </w:rPr>
        <w:t>accordance with</w:t>
      </w:r>
      <w:r w:rsidR="00EA7B3F" w:rsidRPr="00CA32FD">
        <w:rPr>
          <w:rFonts w:ascii="Arial" w:eastAsiaTheme="minorHAnsi" w:hAnsi="Arial" w:cs="Arial"/>
          <w:sz w:val="20"/>
          <w:szCs w:val="20"/>
          <w:lang w:val="en-GB"/>
        </w:rPr>
        <w:t xml:space="preserve"> </w:t>
      </w:r>
      <w:r w:rsidRPr="00CA32FD">
        <w:rPr>
          <w:rFonts w:ascii="Arial" w:eastAsiaTheme="minorHAnsi" w:hAnsi="Arial" w:cs="Arial"/>
          <w:sz w:val="20"/>
          <w:szCs w:val="20"/>
          <w:lang w:val="en-GB"/>
        </w:rPr>
        <w:t>Regulation (EU) 2018/841</w:t>
      </w:r>
      <w:r w:rsidR="00EA7B3F" w:rsidRPr="00CA32FD">
        <w:rPr>
          <w:rFonts w:ascii="Arial" w:eastAsiaTheme="minorHAnsi" w:hAnsi="Arial" w:cs="Arial"/>
          <w:sz w:val="20"/>
          <w:szCs w:val="20"/>
          <w:lang w:val="en-GB"/>
        </w:rPr>
        <w:t>, version 20 July 2018</w:t>
      </w:r>
      <w:r w:rsidR="00BB20A1" w:rsidRPr="00CA32FD">
        <w:rPr>
          <w:rFonts w:ascii="Arial" w:eastAsiaTheme="minorHAnsi" w:hAnsi="Arial" w:cs="Arial"/>
          <w:sz w:val="20"/>
          <w:szCs w:val="20"/>
          <w:lang w:val="en-GB"/>
        </w:rPr>
        <w:t>.</w:t>
      </w:r>
    </w:p>
  </w:footnote>
  <w:footnote w:id="49">
    <w:p w14:paraId="58EACDCD" w14:textId="49862B33" w:rsidR="004A10A3" w:rsidRPr="00293D1D" w:rsidRDefault="004A10A3" w:rsidP="00293D1D">
      <w:pPr>
        <w:pStyle w:val="Testonotaapidipagina"/>
        <w:jc w:val="both"/>
        <w:rPr>
          <w:rFonts w:ascii="Arial" w:hAnsi="Arial" w:cs="Arial"/>
        </w:rPr>
      </w:pPr>
      <w:r w:rsidRPr="00293D1D">
        <w:rPr>
          <w:rStyle w:val="Rimandonotaapidipagina"/>
          <w:rFonts w:ascii="Arial" w:hAnsi="Arial" w:cs="Arial"/>
        </w:rPr>
        <w:footnoteRef/>
      </w:r>
      <w:r w:rsidRPr="00293D1D">
        <w:rPr>
          <w:rFonts w:ascii="Arial" w:hAnsi="Arial" w:cs="Arial"/>
        </w:rPr>
        <w:t xml:space="preserve"> </w:t>
      </w:r>
      <w:r w:rsidR="00E56381" w:rsidRPr="00293D1D">
        <w:rPr>
          <w:rFonts w:ascii="Arial" w:hAnsi="Arial" w:cs="Arial"/>
        </w:rPr>
        <w:t xml:space="preserve">Non per quelle </w:t>
      </w:r>
      <w:r w:rsidR="00E07773" w:rsidRPr="00293D1D">
        <w:rPr>
          <w:rFonts w:ascii="Arial" w:hAnsi="Arial" w:cs="Arial"/>
        </w:rPr>
        <w:t xml:space="preserve">addizionali, pertanto. Si può eventualmente assumere che lo possa essere anche per quelle addizionali, ma occorre </w:t>
      </w:r>
      <w:r w:rsidR="0099704B" w:rsidRPr="00293D1D">
        <w:rPr>
          <w:rFonts w:ascii="Arial" w:hAnsi="Arial" w:cs="Arial"/>
        </w:rPr>
        <w:t>tenere present</w:t>
      </w:r>
      <w:r w:rsidR="00616FB8" w:rsidRPr="00293D1D">
        <w:rPr>
          <w:rFonts w:ascii="Arial" w:hAnsi="Arial" w:cs="Arial"/>
        </w:rPr>
        <w:t>i alcune criticità. Se ne discuterà più oltre nelle conclusioni</w:t>
      </w:r>
      <w:r w:rsidR="00150C8F" w:rsidRPr="00293D1D">
        <w:rPr>
          <w:rFonts w:ascii="Arial" w:hAnsi="Arial" w:cs="Arial"/>
        </w:rPr>
        <w:t xml:space="preserve">. </w:t>
      </w:r>
    </w:p>
  </w:footnote>
  <w:footnote w:id="50">
    <w:p w14:paraId="62543D0C" w14:textId="4F182FD6" w:rsidR="00833344" w:rsidRPr="003B1EA7" w:rsidRDefault="00833344" w:rsidP="00CA32F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RP sta per </w:t>
      </w:r>
      <w:proofErr w:type="spellStart"/>
      <w:r w:rsidRPr="00CA32FD">
        <w:rPr>
          <w:rFonts w:ascii="Arial" w:hAnsi="Arial" w:cs="Arial"/>
        </w:rPr>
        <w:t>Refererence</w:t>
      </w:r>
      <w:proofErr w:type="spellEnd"/>
      <w:r w:rsidRPr="00CA32FD">
        <w:rPr>
          <w:rFonts w:ascii="Arial" w:hAnsi="Arial" w:cs="Arial"/>
        </w:rPr>
        <w:t xml:space="preserve"> </w:t>
      </w:r>
      <w:proofErr w:type="spellStart"/>
      <w:r w:rsidRPr="00CA32FD">
        <w:rPr>
          <w:rFonts w:ascii="Arial" w:hAnsi="Arial" w:cs="Arial"/>
        </w:rPr>
        <w:t>Period</w:t>
      </w:r>
      <w:proofErr w:type="spellEnd"/>
      <w:r w:rsidRPr="00CA32FD">
        <w:rPr>
          <w:rFonts w:ascii="Arial" w:hAnsi="Arial" w:cs="Arial"/>
        </w:rPr>
        <w:t xml:space="preserve">, ovvero </w:t>
      </w:r>
      <w:r w:rsidR="003F4178" w:rsidRPr="00CA32FD">
        <w:rPr>
          <w:rFonts w:ascii="Arial" w:hAnsi="Arial" w:cs="Arial"/>
        </w:rPr>
        <w:t>i due quinquenni 2021-25 o 2026-30.</w:t>
      </w:r>
      <w:r w:rsidRPr="003B1EA7">
        <w:rPr>
          <w:rFonts w:ascii="Arial" w:hAnsi="Arial" w:cs="Arial"/>
        </w:rPr>
        <w:t xml:space="preserve"> </w:t>
      </w:r>
    </w:p>
  </w:footnote>
  <w:footnote w:id="51">
    <w:p w14:paraId="0735E061" w14:textId="6353925B" w:rsidR="00594D6B" w:rsidRPr="00293D1D" w:rsidRDefault="00594D6B" w:rsidP="00293D1D">
      <w:pPr>
        <w:pStyle w:val="Testonotaapidipagina"/>
        <w:jc w:val="both"/>
        <w:rPr>
          <w:rFonts w:ascii="Arial" w:hAnsi="Arial" w:cs="Arial"/>
        </w:rPr>
      </w:pPr>
      <w:r w:rsidRPr="00293D1D">
        <w:rPr>
          <w:rStyle w:val="Rimandonotaapidipagina"/>
          <w:rFonts w:ascii="Arial" w:hAnsi="Arial" w:cs="Arial"/>
        </w:rPr>
        <w:footnoteRef/>
      </w:r>
      <w:r w:rsidRPr="00293D1D">
        <w:rPr>
          <w:rFonts w:ascii="Arial" w:hAnsi="Arial" w:cs="Arial"/>
        </w:rPr>
        <w:t xml:space="preserve"> Ad esempio</w:t>
      </w:r>
      <w:r w:rsidR="009C7BF6" w:rsidRPr="00293D1D">
        <w:rPr>
          <w:rFonts w:ascii="Arial" w:hAnsi="Arial" w:cs="Arial"/>
        </w:rPr>
        <w:t>,</w:t>
      </w:r>
      <w:r w:rsidRPr="00293D1D">
        <w:rPr>
          <w:rFonts w:ascii="Arial" w:hAnsi="Arial" w:cs="Arial"/>
        </w:rPr>
        <w:t xml:space="preserve"> si può ipotizzare un incremento del tasso di prelievo perché l</w:t>
      </w:r>
      <w:r w:rsidR="00D01251" w:rsidRPr="00293D1D">
        <w:rPr>
          <w:rFonts w:ascii="Arial" w:hAnsi="Arial" w:cs="Arial"/>
        </w:rPr>
        <w:t>e foreste sono più vicino alla maturità, ma non è affatto scontato che accada</w:t>
      </w:r>
      <w:r w:rsidR="00F21B2F" w:rsidRPr="00293D1D">
        <w:rPr>
          <w:rFonts w:ascii="Arial" w:hAnsi="Arial" w:cs="Arial"/>
        </w:rPr>
        <w:t xml:space="preserve">. In Italia vi sono diverse aree forestali che non vengono gestite nonostante siano </w:t>
      </w:r>
      <w:r w:rsidR="009C7BF6" w:rsidRPr="00293D1D">
        <w:rPr>
          <w:rFonts w:ascii="Arial" w:hAnsi="Arial" w:cs="Arial"/>
        </w:rPr>
        <w:t xml:space="preserve">giunte a maturità perché non è conveniente economicamente. </w:t>
      </w:r>
      <w:r w:rsidR="00F346A7" w:rsidRPr="00293D1D">
        <w:rPr>
          <w:rFonts w:ascii="Arial" w:hAnsi="Arial" w:cs="Arial"/>
        </w:rPr>
        <w:t xml:space="preserve">Senza contare che </w:t>
      </w:r>
      <w:r w:rsidR="00AE7594" w:rsidRPr="00293D1D">
        <w:rPr>
          <w:rFonts w:ascii="Arial" w:hAnsi="Arial" w:cs="Arial"/>
        </w:rPr>
        <w:t xml:space="preserve">ci possono essere disturbi naturali estremi che </w:t>
      </w:r>
      <w:r w:rsidR="00D13E67" w:rsidRPr="00293D1D">
        <w:rPr>
          <w:rFonts w:ascii="Arial" w:hAnsi="Arial" w:cs="Arial"/>
        </w:rPr>
        <w:t xml:space="preserve">possono rendere debole l’assunzione </w:t>
      </w:r>
      <w:r w:rsidR="00CA32FD" w:rsidRPr="00293D1D">
        <w:rPr>
          <w:rFonts w:ascii="Arial" w:hAnsi="Arial" w:cs="Arial"/>
        </w:rPr>
        <w:t>del FRL come BAU futuro.</w:t>
      </w:r>
    </w:p>
  </w:footnote>
  <w:footnote w:id="52">
    <w:p w14:paraId="7BAA04B2" w14:textId="32E3F8C0" w:rsidR="006D4F2D" w:rsidRPr="00293D1D" w:rsidRDefault="006D4F2D" w:rsidP="00CA32F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Le l</w:t>
      </w:r>
      <w:r w:rsidR="001C39F9" w:rsidRPr="00CA32FD">
        <w:rPr>
          <w:rFonts w:ascii="Arial" w:hAnsi="Arial" w:cs="Arial"/>
        </w:rPr>
        <w:t xml:space="preserve">eggi che incaricano ISPRA di svolgere questo compito sono il DL 51 del </w:t>
      </w:r>
      <w:r w:rsidR="00783FB6" w:rsidRPr="003B1EA7">
        <w:rPr>
          <w:rFonts w:ascii="Arial" w:hAnsi="Arial" w:cs="Arial"/>
        </w:rPr>
        <w:t>7/03/2008 e la L. 79/2016</w:t>
      </w:r>
      <w:r w:rsidR="00D05333" w:rsidRPr="003B1EA7">
        <w:rPr>
          <w:rFonts w:ascii="Arial" w:hAnsi="Arial" w:cs="Arial"/>
        </w:rPr>
        <w:t xml:space="preserve"> sulla Ratifica del</w:t>
      </w:r>
      <w:r w:rsidR="003E6289" w:rsidRPr="00293D1D">
        <w:rPr>
          <w:rFonts w:ascii="Arial" w:hAnsi="Arial" w:cs="Arial"/>
        </w:rPr>
        <w:t>l’</w:t>
      </w:r>
      <w:r w:rsidR="00D05333" w:rsidRPr="00293D1D">
        <w:rPr>
          <w:rFonts w:ascii="Arial" w:hAnsi="Arial" w:cs="Arial"/>
        </w:rPr>
        <w:t>E</w:t>
      </w:r>
      <w:r w:rsidR="001B0535" w:rsidRPr="00293D1D">
        <w:rPr>
          <w:rFonts w:ascii="Arial" w:hAnsi="Arial" w:cs="Arial"/>
        </w:rPr>
        <w:t>mendamento di Doha al Protocollo di Kyoto</w:t>
      </w:r>
      <w:r w:rsidR="00A47AB4" w:rsidRPr="00293D1D">
        <w:rPr>
          <w:rFonts w:ascii="Arial" w:hAnsi="Arial" w:cs="Arial"/>
        </w:rPr>
        <w:t xml:space="preserve">. </w:t>
      </w:r>
    </w:p>
  </w:footnote>
  <w:footnote w:id="53">
    <w:p w14:paraId="5548D8D1" w14:textId="77777777" w:rsidR="004222D1" w:rsidRPr="00CA32FD" w:rsidRDefault="004222D1" w:rsidP="00CA32F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Programma Quadro per il Settore Forestale.</w:t>
      </w:r>
    </w:p>
  </w:footnote>
  <w:footnote w:id="54">
    <w:p w14:paraId="37C5E4C2" w14:textId="77777777" w:rsidR="00602C65" w:rsidRPr="003B1EA7" w:rsidRDefault="00602C65" w:rsidP="00CA32FD">
      <w:pPr>
        <w:pStyle w:val="Corpotesto"/>
        <w:ind w:right="45"/>
        <w:jc w:val="both"/>
        <w:rPr>
          <w:rFonts w:ascii="Arial" w:hAnsi="Arial" w:cs="Arial"/>
          <w:color w:val="000000"/>
          <w:sz w:val="20"/>
          <w:szCs w:val="20"/>
          <w:shd w:val="clear" w:color="auto" w:fill="FFFFFF"/>
        </w:rPr>
      </w:pPr>
      <w:r w:rsidRPr="00CA32FD">
        <w:rPr>
          <w:rStyle w:val="Rimandonotaapidipagina"/>
          <w:rFonts w:ascii="Arial" w:hAnsi="Arial" w:cs="Arial"/>
          <w:sz w:val="20"/>
          <w:szCs w:val="20"/>
        </w:rPr>
        <w:footnoteRef/>
      </w:r>
      <w:r w:rsidRPr="00CA32FD">
        <w:rPr>
          <w:rFonts w:ascii="Arial" w:hAnsi="Arial" w:cs="Arial"/>
          <w:sz w:val="20"/>
          <w:szCs w:val="20"/>
        </w:rPr>
        <w:t xml:space="preserve"> </w:t>
      </w:r>
      <w:r w:rsidRPr="00CA32FD">
        <w:rPr>
          <w:rFonts w:ascii="Arial" w:hAnsi="Arial" w:cs="Arial"/>
          <w:color w:val="000000"/>
          <w:sz w:val="20"/>
          <w:szCs w:val="20"/>
        </w:rPr>
        <w:t>Il Decreto Legislativo n.</w:t>
      </w:r>
      <w:r w:rsidRPr="003B1EA7">
        <w:rPr>
          <w:rFonts w:ascii="Arial" w:hAnsi="Arial" w:cs="Arial"/>
          <w:color w:val="000000"/>
          <w:sz w:val="20"/>
          <w:szCs w:val="20"/>
          <w:shd w:val="clear" w:color="auto" w:fill="FFFFFF"/>
        </w:rPr>
        <w:t xml:space="preserve"> 227/2001 fornisce 5 indicazioni generali sulla gestione forestale:</w:t>
      </w:r>
    </w:p>
    <w:p w14:paraId="3DE5C5DC" w14:textId="77777777" w:rsidR="00602C65" w:rsidRPr="00293D1D" w:rsidRDefault="00602C65" w:rsidP="00CA32FD">
      <w:pPr>
        <w:pStyle w:val="Corpotesto"/>
        <w:numPr>
          <w:ilvl w:val="0"/>
          <w:numId w:val="19"/>
        </w:numPr>
        <w:ind w:right="45"/>
        <w:jc w:val="both"/>
        <w:rPr>
          <w:rFonts w:ascii="Arial" w:hAnsi="Arial" w:cs="Arial"/>
          <w:color w:val="000000"/>
          <w:sz w:val="20"/>
          <w:szCs w:val="20"/>
          <w:shd w:val="clear" w:color="auto" w:fill="DBDFF3"/>
        </w:rPr>
      </w:pPr>
      <w:r w:rsidRPr="00293D1D">
        <w:rPr>
          <w:rFonts w:ascii="Arial" w:hAnsi="Arial" w:cs="Arial"/>
          <w:color w:val="000000"/>
          <w:sz w:val="20"/>
          <w:szCs w:val="20"/>
        </w:rPr>
        <w:t xml:space="preserve">proteggere le funzioni dell'ecosistema forestale, le risorse genetiche, i bacini idrici e il paesaggio; </w:t>
      </w:r>
    </w:p>
    <w:p w14:paraId="32E46B87" w14:textId="77777777" w:rsidR="00602C65" w:rsidRPr="00293D1D" w:rsidRDefault="00602C65" w:rsidP="00CA32FD">
      <w:pPr>
        <w:pStyle w:val="Corpotesto"/>
        <w:numPr>
          <w:ilvl w:val="0"/>
          <w:numId w:val="19"/>
        </w:numPr>
        <w:ind w:right="45"/>
        <w:jc w:val="both"/>
        <w:rPr>
          <w:rFonts w:ascii="Arial" w:hAnsi="Arial" w:cs="Arial"/>
          <w:color w:val="000000"/>
          <w:sz w:val="20"/>
          <w:szCs w:val="20"/>
          <w:shd w:val="clear" w:color="auto" w:fill="FFFFFF"/>
        </w:rPr>
      </w:pPr>
      <w:r w:rsidRPr="00293D1D">
        <w:rPr>
          <w:rFonts w:ascii="Arial" w:hAnsi="Arial" w:cs="Arial"/>
          <w:color w:val="000000"/>
          <w:sz w:val="20"/>
          <w:szCs w:val="20"/>
          <w:shd w:val="clear" w:color="auto" w:fill="FFFFFF"/>
        </w:rPr>
        <w:t>evitare la conversione dei terreni forestali ad altri usi del terreno e, se del caso, applicare compensazioni;</w:t>
      </w:r>
    </w:p>
    <w:p w14:paraId="7FFDF561" w14:textId="77777777" w:rsidR="00602C65" w:rsidRPr="00293D1D" w:rsidRDefault="00602C65" w:rsidP="00CA32FD">
      <w:pPr>
        <w:pStyle w:val="Corpotesto"/>
        <w:numPr>
          <w:ilvl w:val="0"/>
          <w:numId w:val="19"/>
        </w:numPr>
        <w:ind w:right="45"/>
        <w:jc w:val="both"/>
        <w:rPr>
          <w:rFonts w:ascii="Arial" w:hAnsi="Arial" w:cs="Arial"/>
          <w:color w:val="000000"/>
          <w:sz w:val="20"/>
          <w:szCs w:val="20"/>
          <w:shd w:val="clear" w:color="auto" w:fill="FFFFFF"/>
        </w:rPr>
      </w:pPr>
      <w:r w:rsidRPr="00293D1D">
        <w:rPr>
          <w:rFonts w:ascii="Arial" w:hAnsi="Arial" w:cs="Arial"/>
          <w:color w:val="000000"/>
          <w:sz w:val="20"/>
          <w:szCs w:val="20"/>
          <w:shd w:val="clear" w:color="auto" w:fill="FFFFFF"/>
        </w:rPr>
        <w:t>rimboschimenti con specie endemiche;</w:t>
      </w:r>
    </w:p>
    <w:p w14:paraId="4CBB7430" w14:textId="77777777" w:rsidR="00602C65" w:rsidRPr="00293D1D" w:rsidRDefault="00602C65" w:rsidP="00CA32FD">
      <w:pPr>
        <w:pStyle w:val="Corpotesto"/>
        <w:numPr>
          <w:ilvl w:val="0"/>
          <w:numId w:val="19"/>
        </w:numPr>
        <w:ind w:right="45"/>
        <w:jc w:val="both"/>
        <w:rPr>
          <w:rFonts w:ascii="Arial" w:hAnsi="Arial" w:cs="Arial"/>
          <w:color w:val="000000"/>
          <w:sz w:val="20"/>
          <w:szCs w:val="20"/>
          <w:shd w:val="clear" w:color="auto" w:fill="FFFFFF"/>
        </w:rPr>
      </w:pPr>
      <w:r w:rsidRPr="00293D1D">
        <w:rPr>
          <w:rFonts w:ascii="Arial" w:hAnsi="Arial" w:cs="Arial"/>
          <w:color w:val="000000"/>
          <w:sz w:val="20"/>
          <w:szCs w:val="20"/>
          <w:shd w:val="clear" w:color="auto" w:fill="FFFFFF"/>
        </w:rPr>
        <w:t>evitare la conversione delle foreste “in piedi” in bosco ceduo;</w:t>
      </w:r>
    </w:p>
    <w:p w14:paraId="4E652948" w14:textId="77777777" w:rsidR="00602C65" w:rsidRPr="00293D1D" w:rsidRDefault="00602C65" w:rsidP="003B1EA7">
      <w:pPr>
        <w:pStyle w:val="Corpotesto"/>
        <w:numPr>
          <w:ilvl w:val="0"/>
          <w:numId w:val="19"/>
        </w:numPr>
        <w:ind w:right="45"/>
        <w:jc w:val="both"/>
        <w:rPr>
          <w:rFonts w:ascii="Arial" w:hAnsi="Arial" w:cs="Arial"/>
          <w:color w:val="000000"/>
          <w:sz w:val="20"/>
          <w:szCs w:val="20"/>
          <w:shd w:val="clear" w:color="auto" w:fill="FFFFFF"/>
        </w:rPr>
      </w:pPr>
      <w:r w:rsidRPr="00293D1D">
        <w:rPr>
          <w:rFonts w:ascii="Arial" w:hAnsi="Arial" w:cs="Arial"/>
          <w:color w:val="000000"/>
          <w:sz w:val="20"/>
          <w:szCs w:val="20"/>
          <w:shd w:val="clear" w:color="auto" w:fill="FFFFFF"/>
        </w:rPr>
        <w:t>evitare il taglio raso;</w:t>
      </w:r>
    </w:p>
    <w:p w14:paraId="19ED92D0" w14:textId="3F5BAFAC" w:rsidR="00602C65" w:rsidRPr="00293D1D" w:rsidRDefault="00602C65" w:rsidP="00293D1D">
      <w:pPr>
        <w:pStyle w:val="Corpotesto"/>
        <w:numPr>
          <w:ilvl w:val="0"/>
          <w:numId w:val="19"/>
        </w:numPr>
        <w:ind w:right="45"/>
        <w:jc w:val="both"/>
        <w:rPr>
          <w:rFonts w:ascii="Arial" w:hAnsi="Arial" w:cs="Arial"/>
          <w:sz w:val="20"/>
          <w:szCs w:val="20"/>
        </w:rPr>
      </w:pPr>
      <w:r w:rsidRPr="00293D1D">
        <w:rPr>
          <w:rFonts w:ascii="Arial" w:hAnsi="Arial" w:cs="Arial"/>
          <w:color w:val="000000"/>
          <w:sz w:val="20"/>
          <w:szCs w:val="20"/>
          <w:shd w:val="clear" w:color="auto" w:fill="FFFFFF"/>
        </w:rPr>
        <w:t>conservare la biodiversità, compresa la vera conservazione degli alberi vecchi e del legno morto.</w:t>
      </w:r>
    </w:p>
    <w:p w14:paraId="4A07DF80" w14:textId="033A208C" w:rsidR="00602C65" w:rsidRPr="00293D1D" w:rsidRDefault="00602C65" w:rsidP="00293D1D">
      <w:pPr>
        <w:pStyle w:val="Corpotesto"/>
        <w:ind w:left="360" w:right="45"/>
        <w:jc w:val="both"/>
        <w:rPr>
          <w:rFonts w:ascii="Arial" w:hAnsi="Arial" w:cs="Arial"/>
          <w:sz w:val="20"/>
          <w:szCs w:val="20"/>
        </w:rPr>
      </w:pPr>
      <w:r w:rsidRPr="00293D1D">
        <w:rPr>
          <w:rFonts w:ascii="Arial" w:hAnsi="Arial" w:cs="Arial"/>
          <w:sz w:val="20"/>
          <w:szCs w:val="20"/>
        </w:rPr>
        <w:t xml:space="preserve">Tali indicazioni sono </w:t>
      </w:r>
      <w:r w:rsidR="00674C44" w:rsidRPr="00293D1D">
        <w:rPr>
          <w:rFonts w:ascii="Arial" w:hAnsi="Arial" w:cs="Arial"/>
          <w:sz w:val="20"/>
          <w:szCs w:val="20"/>
        </w:rPr>
        <w:t xml:space="preserve">le stesse </w:t>
      </w:r>
      <w:r w:rsidR="00BA43AF" w:rsidRPr="00293D1D">
        <w:rPr>
          <w:rFonts w:ascii="Arial" w:hAnsi="Arial" w:cs="Arial"/>
          <w:sz w:val="20"/>
          <w:szCs w:val="20"/>
        </w:rPr>
        <w:t xml:space="preserve">che emergono dai documenti preliminari </w:t>
      </w:r>
      <w:r w:rsidR="00674C44" w:rsidRPr="00293D1D">
        <w:rPr>
          <w:rFonts w:ascii="Arial" w:hAnsi="Arial" w:cs="Arial"/>
          <w:sz w:val="20"/>
          <w:szCs w:val="20"/>
        </w:rPr>
        <w:t>della strategi</w:t>
      </w:r>
      <w:r w:rsidR="00BA43AF" w:rsidRPr="00293D1D">
        <w:rPr>
          <w:rFonts w:ascii="Arial" w:hAnsi="Arial" w:cs="Arial"/>
          <w:sz w:val="20"/>
          <w:szCs w:val="20"/>
        </w:rPr>
        <w:t>a</w:t>
      </w:r>
      <w:r w:rsidR="00674C44" w:rsidRPr="00293D1D">
        <w:rPr>
          <w:rFonts w:ascii="Arial" w:hAnsi="Arial" w:cs="Arial"/>
          <w:sz w:val="20"/>
          <w:szCs w:val="20"/>
        </w:rPr>
        <w:t xml:space="preserve"> forestale comunitaria che è in fase di definizione</w:t>
      </w:r>
      <w:r w:rsidR="00BA43AF" w:rsidRPr="00293D1D">
        <w:rPr>
          <w:rFonts w:ascii="Arial" w:hAnsi="Arial" w:cs="Arial"/>
          <w:sz w:val="20"/>
          <w:szCs w:val="20"/>
        </w:rPr>
        <w:t xml:space="preserve"> nell’ambito del Green </w:t>
      </w:r>
      <w:proofErr w:type="spellStart"/>
      <w:r w:rsidR="00BA43AF" w:rsidRPr="00293D1D">
        <w:rPr>
          <w:rFonts w:ascii="Arial" w:hAnsi="Arial" w:cs="Arial"/>
          <w:sz w:val="20"/>
          <w:szCs w:val="20"/>
        </w:rPr>
        <w:t>Deal</w:t>
      </w:r>
      <w:proofErr w:type="spellEnd"/>
      <w:r w:rsidR="00BA43AF" w:rsidRPr="00293D1D">
        <w:rPr>
          <w:rFonts w:ascii="Arial" w:hAnsi="Arial" w:cs="Arial"/>
          <w:sz w:val="20"/>
          <w:szCs w:val="20"/>
        </w:rPr>
        <w:t>.</w:t>
      </w:r>
    </w:p>
  </w:footnote>
  <w:footnote w:id="55">
    <w:p w14:paraId="7D0B8902" w14:textId="048883DB" w:rsidR="00DE09DB" w:rsidRPr="00293D1D" w:rsidRDefault="00295359" w:rsidP="00293D1D">
      <w:pPr>
        <w:pStyle w:val="Default"/>
        <w:jc w:val="both"/>
        <w:rPr>
          <w:rFonts w:ascii="Arial" w:hAnsi="Arial" w:cs="Arial"/>
          <w:sz w:val="20"/>
          <w:szCs w:val="20"/>
        </w:rPr>
      </w:pPr>
      <w:r w:rsidRPr="00CA32FD">
        <w:rPr>
          <w:rStyle w:val="Rimandonotaapidipagina"/>
          <w:rFonts w:ascii="Arial" w:hAnsi="Arial" w:cs="Arial"/>
          <w:sz w:val="20"/>
          <w:szCs w:val="20"/>
        </w:rPr>
        <w:footnoteRef/>
      </w:r>
      <w:r w:rsidRPr="00CA32FD">
        <w:rPr>
          <w:rFonts w:ascii="Arial" w:hAnsi="Arial" w:cs="Arial"/>
          <w:sz w:val="20"/>
          <w:szCs w:val="20"/>
        </w:rPr>
        <w:t xml:space="preserve"> </w:t>
      </w:r>
      <w:r w:rsidR="00C804BE" w:rsidRPr="00CA32FD">
        <w:rPr>
          <w:rFonts w:ascii="Arial" w:hAnsi="Arial" w:cs="Arial"/>
          <w:sz w:val="20"/>
          <w:szCs w:val="20"/>
        </w:rPr>
        <w:t xml:space="preserve">Anche se questo problema, nella valutazione di conformità da parte del Comitato LULUCIFEG è stato considerato. </w:t>
      </w:r>
      <w:r w:rsidR="00C804BE" w:rsidRPr="003B1EA7">
        <w:rPr>
          <w:rFonts w:ascii="Arial" w:hAnsi="Arial" w:cs="Arial"/>
          <w:sz w:val="20"/>
          <w:szCs w:val="20"/>
          <w:lang w:val="en-GB"/>
        </w:rPr>
        <w:t>Ne</w:t>
      </w:r>
      <w:r w:rsidR="008E0036" w:rsidRPr="003B1EA7">
        <w:rPr>
          <w:rFonts w:ascii="Arial" w:hAnsi="Arial" w:cs="Arial"/>
          <w:sz w:val="20"/>
          <w:szCs w:val="20"/>
          <w:lang w:val="en-GB"/>
        </w:rPr>
        <w:t>l</w:t>
      </w:r>
      <w:r w:rsidR="00C804BE" w:rsidRPr="003B1EA7">
        <w:rPr>
          <w:rFonts w:ascii="Arial" w:hAnsi="Arial" w:cs="Arial"/>
          <w:sz w:val="20"/>
          <w:szCs w:val="20"/>
          <w:lang w:val="en-GB"/>
        </w:rPr>
        <w:t>l</w:t>
      </w:r>
      <w:r w:rsidR="008E0036" w:rsidRPr="003B1EA7">
        <w:rPr>
          <w:rFonts w:ascii="Arial" w:hAnsi="Arial" w:cs="Arial"/>
          <w:sz w:val="20"/>
          <w:szCs w:val="20"/>
          <w:lang w:val="en-GB"/>
        </w:rPr>
        <w:t>a</w:t>
      </w:r>
      <w:r w:rsidR="00C804BE" w:rsidRPr="003B1EA7">
        <w:rPr>
          <w:rFonts w:ascii="Arial" w:hAnsi="Arial" w:cs="Arial"/>
          <w:sz w:val="20"/>
          <w:szCs w:val="20"/>
          <w:lang w:val="en-GB"/>
        </w:rPr>
        <w:t xml:space="preserve"> </w:t>
      </w:r>
      <w:r w:rsidR="00F043F9" w:rsidRPr="00293D1D">
        <w:rPr>
          <w:rFonts w:ascii="Arial" w:hAnsi="Arial" w:cs="Arial"/>
          <w:b/>
          <w:bCs/>
          <w:i/>
          <w:iCs/>
          <w:sz w:val="20"/>
          <w:szCs w:val="20"/>
          <w:lang w:val="en-GB"/>
        </w:rPr>
        <w:t>Compilation of Synthesis Reports Technical Assessment of National Forest Accounting Plans as requested by the LULUCF Regulation</w:t>
      </w:r>
      <w:r w:rsidR="00F043F9" w:rsidRPr="00293D1D">
        <w:rPr>
          <w:rFonts w:ascii="Arial" w:hAnsi="Arial" w:cs="Arial"/>
          <w:sz w:val="20"/>
          <w:szCs w:val="20"/>
          <w:lang w:val="en-GB"/>
        </w:rPr>
        <w:t xml:space="preserve"> </w:t>
      </w:r>
      <w:r w:rsidR="008E0036" w:rsidRPr="00293D1D">
        <w:rPr>
          <w:rFonts w:ascii="Arial" w:hAnsi="Arial" w:cs="Arial"/>
          <w:sz w:val="20"/>
          <w:szCs w:val="20"/>
          <w:lang w:val="en-GB"/>
        </w:rPr>
        <w:t xml:space="preserve">a </w:t>
      </w:r>
      <w:proofErr w:type="spellStart"/>
      <w:r w:rsidR="008E0036" w:rsidRPr="00293D1D">
        <w:rPr>
          <w:rFonts w:ascii="Arial" w:hAnsi="Arial" w:cs="Arial"/>
          <w:sz w:val="20"/>
          <w:szCs w:val="20"/>
          <w:lang w:val="en-GB"/>
        </w:rPr>
        <w:t>pag</w:t>
      </w:r>
      <w:proofErr w:type="spellEnd"/>
      <w:r w:rsidR="008E0036" w:rsidRPr="00293D1D">
        <w:rPr>
          <w:rFonts w:ascii="Arial" w:hAnsi="Arial" w:cs="Arial"/>
          <w:sz w:val="20"/>
          <w:szCs w:val="20"/>
          <w:lang w:val="en-GB"/>
        </w:rPr>
        <w:t xml:space="preserve">. 62 </w:t>
      </w:r>
      <w:proofErr w:type="spellStart"/>
      <w:r w:rsidR="008E0036" w:rsidRPr="00293D1D">
        <w:rPr>
          <w:rFonts w:ascii="Arial" w:hAnsi="Arial" w:cs="Arial"/>
          <w:sz w:val="20"/>
          <w:szCs w:val="20"/>
          <w:lang w:val="en-GB"/>
        </w:rPr>
        <w:t>viene</w:t>
      </w:r>
      <w:proofErr w:type="spellEnd"/>
      <w:r w:rsidR="008E0036" w:rsidRPr="00293D1D">
        <w:rPr>
          <w:rFonts w:ascii="Arial" w:hAnsi="Arial" w:cs="Arial"/>
          <w:sz w:val="20"/>
          <w:szCs w:val="20"/>
          <w:lang w:val="en-GB"/>
        </w:rPr>
        <w:t xml:space="preserve"> </w:t>
      </w:r>
      <w:proofErr w:type="spellStart"/>
      <w:r w:rsidR="008E0036" w:rsidRPr="00293D1D">
        <w:rPr>
          <w:rFonts w:ascii="Arial" w:hAnsi="Arial" w:cs="Arial"/>
          <w:sz w:val="20"/>
          <w:szCs w:val="20"/>
          <w:lang w:val="en-GB"/>
        </w:rPr>
        <w:t>fatto</w:t>
      </w:r>
      <w:proofErr w:type="spellEnd"/>
      <w:r w:rsidR="008E0036" w:rsidRPr="00293D1D">
        <w:rPr>
          <w:rFonts w:ascii="Arial" w:hAnsi="Arial" w:cs="Arial"/>
          <w:sz w:val="20"/>
          <w:szCs w:val="20"/>
          <w:lang w:val="en-GB"/>
        </w:rPr>
        <w:t xml:space="preserve"> </w:t>
      </w:r>
      <w:proofErr w:type="spellStart"/>
      <w:r w:rsidR="008E0036" w:rsidRPr="00293D1D">
        <w:rPr>
          <w:rFonts w:ascii="Arial" w:hAnsi="Arial" w:cs="Arial"/>
          <w:sz w:val="20"/>
          <w:szCs w:val="20"/>
          <w:lang w:val="en-GB"/>
        </w:rPr>
        <w:t>notare</w:t>
      </w:r>
      <w:proofErr w:type="spellEnd"/>
      <w:r w:rsidR="008E0036" w:rsidRPr="00293D1D">
        <w:rPr>
          <w:rFonts w:ascii="Arial" w:hAnsi="Arial" w:cs="Arial"/>
          <w:sz w:val="20"/>
          <w:szCs w:val="20"/>
          <w:lang w:val="en-GB"/>
        </w:rPr>
        <w:t xml:space="preserve"> </w:t>
      </w:r>
      <w:proofErr w:type="spellStart"/>
      <w:r w:rsidR="008E0036" w:rsidRPr="00293D1D">
        <w:rPr>
          <w:rFonts w:ascii="Arial" w:hAnsi="Arial" w:cs="Arial"/>
          <w:sz w:val="20"/>
          <w:szCs w:val="20"/>
          <w:lang w:val="en-GB"/>
        </w:rPr>
        <w:t>che</w:t>
      </w:r>
      <w:proofErr w:type="spellEnd"/>
      <w:r w:rsidR="008E0036" w:rsidRPr="00293D1D">
        <w:rPr>
          <w:rFonts w:ascii="Arial" w:hAnsi="Arial" w:cs="Arial"/>
          <w:sz w:val="20"/>
          <w:szCs w:val="20"/>
          <w:lang w:val="en-GB"/>
        </w:rPr>
        <w:t xml:space="preserve"> </w:t>
      </w:r>
      <w:proofErr w:type="spellStart"/>
      <w:r w:rsidR="008E0036" w:rsidRPr="00293D1D">
        <w:rPr>
          <w:rFonts w:ascii="Arial" w:hAnsi="Arial" w:cs="Arial"/>
          <w:sz w:val="20"/>
          <w:szCs w:val="20"/>
          <w:lang w:val="en-GB"/>
        </w:rPr>
        <w:t>l’Italia</w:t>
      </w:r>
      <w:proofErr w:type="spellEnd"/>
      <w:r w:rsidR="008E0036" w:rsidRPr="00293D1D">
        <w:rPr>
          <w:rFonts w:ascii="Arial" w:hAnsi="Arial" w:cs="Arial"/>
          <w:sz w:val="20"/>
          <w:szCs w:val="20"/>
          <w:lang w:val="en-GB"/>
        </w:rPr>
        <w:t xml:space="preserve">, </w:t>
      </w:r>
      <w:proofErr w:type="spellStart"/>
      <w:r w:rsidR="008E0036" w:rsidRPr="00293D1D">
        <w:rPr>
          <w:rFonts w:ascii="Arial" w:hAnsi="Arial" w:cs="Arial"/>
          <w:sz w:val="20"/>
          <w:szCs w:val="20"/>
          <w:lang w:val="en-GB"/>
        </w:rPr>
        <w:t>pur</w:t>
      </w:r>
      <w:proofErr w:type="spellEnd"/>
      <w:r w:rsidR="008E0036" w:rsidRPr="00293D1D">
        <w:rPr>
          <w:rFonts w:ascii="Arial" w:hAnsi="Arial" w:cs="Arial"/>
          <w:sz w:val="20"/>
          <w:szCs w:val="20"/>
          <w:lang w:val="en-GB"/>
        </w:rPr>
        <w:t xml:space="preserve"> </w:t>
      </w:r>
      <w:proofErr w:type="spellStart"/>
      <w:r w:rsidR="008E0036" w:rsidRPr="00293D1D">
        <w:rPr>
          <w:rFonts w:ascii="Arial" w:hAnsi="Arial" w:cs="Arial"/>
          <w:sz w:val="20"/>
          <w:szCs w:val="20"/>
          <w:lang w:val="en-GB"/>
        </w:rPr>
        <w:t>essendo</w:t>
      </w:r>
      <w:proofErr w:type="spellEnd"/>
      <w:r w:rsidR="008E0036" w:rsidRPr="00293D1D">
        <w:rPr>
          <w:rFonts w:ascii="Arial" w:hAnsi="Arial" w:cs="Arial"/>
          <w:sz w:val="20"/>
          <w:szCs w:val="20"/>
          <w:lang w:val="en-GB"/>
        </w:rPr>
        <w:t xml:space="preserve"> </w:t>
      </w:r>
      <w:proofErr w:type="spellStart"/>
      <w:r w:rsidR="008E0036" w:rsidRPr="00293D1D">
        <w:rPr>
          <w:rFonts w:ascii="Arial" w:hAnsi="Arial" w:cs="Arial"/>
          <w:sz w:val="20"/>
          <w:szCs w:val="20"/>
          <w:lang w:val="en-GB"/>
        </w:rPr>
        <w:t>generalmente</w:t>
      </w:r>
      <w:proofErr w:type="spellEnd"/>
      <w:r w:rsidR="008E0036" w:rsidRPr="00293D1D">
        <w:rPr>
          <w:rFonts w:ascii="Arial" w:hAnsi="Arial" w:cs="Arial"/>
          <w:sz w:val="20"/>
          <w:szCs w:val="20"/>
          <w:lang w:val="en-GB"/>
        </w:rPr>
        <w:t xml:space="preserve"> in </w:t>
      </w:r>
      <w:r w:rsidR="0076380E" w:rsidRPr="00293D1D">
        <w:rPr>
          <w:rFonts w:ascii="Arial" w:hAnsi="Arial" w:cs="Arial"/>
          <w:sz w:val="20"/>
          <w:szCs w:val="20"/>
          <w:lang w:val="en-GB"/>
        </w:rPr>
        <w:t xml:space="preserve">compliance con il </w:t>
      </w:r>
      <w:proofErr w:type="spellStart"/>
      <w:r w:rsidR="0076380E" w:rsidRPr="00293D1D">
        <w:rPr>
          <w:rFonts w:ascii="Arial" w:hAnsi="Arial" w:cs="Arial"/>
          <w:sz w:val="20"/>
          <w:szCs w:val="20"/>
          <w:lang w:val="en-GB"/>
        </w:rPr>
        <w:t>Regolamento</w:t>
      </w:r>
      <w:proofErr w:type="spellEnd"/>
      <w:r w:rsidR="009C669A" w:rsidRPr="00293D1D">
        <w:rPr>
          <w:rFonts w:ascii="Arial" w:hAnsi="Arial" w:cs="Arial"/>
          <w:sz w:val="20"/>
          <w:szCs w:val="20"/>
          <w:lang w:val="en-GB"/>
        </w:rPr>
        <w:t xml:space="preserve"> 841</w:t>
      </w:r>
      <w:r w:rsidR="0076380E" w:rsidRPr="00293D1D">
        <w:rPr>
          <w:rFonts w:ascii="Arial" w:hAnsi="Arial" w:cs="Arial"/>
          <w:sz w:val="20"/>
          <w:szCs w:val="20"/>
          <w:lang w:val="en-GB"/>
        </w:rPr>
        <w:t xml:space="preserve">, </w:t>
      </w:r>
      <w:r w:rsidR="00DE09DB" w:rsidRPr="00293D1D">
        <w:rPr>
          <w:rFonts w:ascii="Arial" w:hAnsi="Arial" w:cs="Arial"/>
          <w:sz w:val="20"/>
          <w:szCs w:val="20"/>
          <w:lang w:val="en-GB"/>
        </w:rPr>
        <w:t>“</w:t>
      </w:r>
      <w:r w:rsidR="00DE09DB" w:rsidRPr="00293D1D">
        <w:rPr>
          <w:rFonts w:ascii="Arial" w:hAnsi="Arial" w:cs="Arial"/>
          <w:i/>
          <w:iCs/>
          <w:sz w:val="20"/>
          <w:szCs w:val="20"/>
          <w:lang w:val="en-GB"/>
        </w:rPr>
        <w:t>The LULUCFEG suggests that Italy improve the transparency of their NFAP by including information on age-class structure and forest management practices (e.g., rotation lengths and thinning intensity</w:t>
      </w:r>
      <w:r w:rsidR="00DE09DB" w:rsidRPr="00293D1D">
        <w:rPr>
          <w:rFonts w:ascii="Arial" w:hAnsi="Arial" w:cs="Arial"/>
          <w:sz w:val="20"/>
          <w:szCs w:val="20"/>
          <w:lang w:val="en-GB"/>
        </w:rPr>
        <w:t xml:space="preserve">)”. </w:t>
      </w:r>
      <w:r w:rsidR="00DE09DB" w:rsidRPr="00293D1D">
        <w:rPr>
          <w:rFonts w:ascii="Arial" w:hAnsi="Arial" w:cs="Arial"/>
          <w:sz w:val="20"/>
          <w:szCs w:val="20"/>
        </w:rPr>
        <w:t xml:space="preserve">La risposta </w:t>
      </w:r>
      <w:r w:rsidR="0080260A" w:rsidRPr="00293D1D">
        <w:rPr>
          <w:rFonts w:ascii="Arial" w:hAnsi="Arial" w:cs="Arial"/>
          <w:sz w:val="20"/>
          <w:szCs w:val="20"/>
        </w:rPr>
        <w:t xml:space="preserve">di ISPRA è stata che il modello utilizzato per la stia del FRL (il modello For-est) non richiede l’utilizzo di </w:t>
      </w:r>
      <w:r w:rsidR="009C669A" w:rsidRPr="00293D1D">
        <w:rPr>
          <w:rFonts w:ascii="Arial" w:hAnsi="Arial" w:cs="Arial"/>
          <w:sz w:val="20"/>
          <w:szCs w:val="20"/>
        </w:rPr>
        <w:t xml:space="preserve">queste tipologie di dati. </w:t>
      </w:r>
    </w:p>
    <w:p w14:paraId="765AACD3" w14:textId="5D8BBBF4" w:rsidR="00295359" w:rsidRPr="00293D1D" w:rsidRDefault="00295359" w:rsidP="00293D1D">
      <w:pPr>
        <w:pStyle w:val="Default"/>
        <w:jc w:val="both"/>
        <w:rPr>
          <w:rFonts w:ascii="Arial" w:hAnsi="Arial" w:cs="Arial"/>
          <w:sz w:val="20"/>
          <w:szCs w:val="20"/>
        </w:rPr>
      </w:pPr>
    </w:p>
  </w:footnote>
  <w:footnote w:id="56">
    <w:p w14:paraId="7E28C6E6" w14:textId="2C3C0A6C" w:rsidR="00401F02" w:rsidRPr="003B1EA7" w:rsidRDefault="00401F02" w:rsidP="00293D1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Nel</w:t>
      </w:r>
      <w:r w:rsidR="00534598" w:rsidRPr="00CA32FD">
        <w:rPr>
          <w:rFonts w:ascii="Arial" w:hAnsi="Arial" w:cs="Arial"/>
        </w:rPr>
        <w:t xml:space="preserve"> NFAP e nei documenti collegati, i prodotti legnosi </w:t>
      </w:r>
      <w:r w:rsidR="00600E1B" w:rsidRPr="00CA32FD">
        <w:rPr>
          <w:rFonts w:ascii="Arial" w:hAnsi="Arial" w:cs="Arial"/>
        </w:rPr>
        <w:t xml:space="preserve">sono definiti </w:t>
      </w:r>
      <w:proofErr w:type="spellStart"/>
      <w:r w:rsidR="00600E1B" w:rsidRPr="003B1EA7">
        <w:rPr>
          <w:rFonts w:ascii="Arial" w:hAnsi="Arial" w:cs="Arial"/>
          <w:color w:val="000000"/>
        </w:rPr>
        <w:t>Harvested</w:t>
      </w:r>
      <w:proofErr w:type="spellEnd"/>
      <w:r w:rsidR="00600E1B" w:rsidRPr="003B1EA7">
        <w:rPr>
          <w:rFonts w:ascii="Arial" w:hAnsi="Arial" w:cs="Arial"/>
          <w:color w:val="000000"/>
        </w:rPr>
        <w:t xml:space="preserve"> Wood Products – HWP.</w:t>
      </w:r>
    </w:p>
  </w:footnote>
  <w:footnote w:id="57">
    <w:p w14:paraId="41F74692" w14:textId="4A894E9F" w:rsidR="00833D65" w:rsidRPr="00293D1D" w:rsidRDefault="00833D65" w:rsidP="00293D1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w:t>
      </w:r>
      <w:r w:rsidR="00EB01E5" w:rsidRPr="00CA32FD">
        <w:rPr>
          <w:rFonts w:ascii="Arial" w:hAnsi="Arial" w:cs="Arial"/>
        </w:rPr>
        <w:t xml:space="preserve">Carta, pannelli di legno e legno segato, </w:t>
      </w:r>
      <w:r w:rsidR="00EB0DC6" w:rsidRPr="003B1EA7">
        <w:rPr>
          <w:rFonts w:ascii="Arial" w:hAnsi="Arial" w:cs="Arial"/>
        </w:rPr>
        <w:t xml:space="preserve">classificazione </w:t>
      </w:r>
      <w:r w:rsidR="00E55E9D" w:rsidRPr="003B1EA7">
        <w:rPr>
          <w:rFonts w:ascii="Arial" w:hAnsi="Arial" w:cs="Arial"/>
        </w:rPr>
        <w:t>stabilita nell’a</w:t>
      </w:r>
      <w:r w:rsidR="00ED49AF" w:rsidRPr="003B1EA7">
        <w:rPr>
          <w:rFonts w:ascii="Arial" w:hAnsi="Arial" w:cs="Arial"/>
        </w:rPr>
        <w:t xml:space="preserve">rt 9 </w:t>
      </w:r>
      <w:r w:rsidR="00EB0DC6" w:rsidRPr="003B1EA7">
        <w:rPr>
          <w:rFonts w:ascii="Arial" w:hAnsi="Arial" w:cs="Arial"/>
        </w:rPr>
        <w:t>del Regolamento</w:t>
      </w:r>
      <w:r w:rsidR="00E55E9D" w:rsidRPr="003B1EA7">
        <w:rPr>
          <w:rFonts w:ascii="Arial" w:hAnsi="Arial" w:cs="Arial"/>
        </w:rPr>
        <w:t xml:space="preserve"> 841/2018</w:t>
      </w:r>
      <w:r w:rsidR="00EB01E5" w:rsidRPr="00293D1D">
        <w:rPr>
          <w:rFonts w:ascii="Arial" w:hAnsi="Arial" w:cs="Arial"/>
        </w:rPr>
        <w:t>.</w:t>
      </w:r>
    </w:p>
  </w:footnote>
  <w:footnote w:id="58">
    <w:p w14:paraId="30423210" w14:textId="2C0A7F87" w:rsidR="00F4495E" w:rsidRPr="00293D1D" w:rsidRDefault="00F4495E" w:rsidP="00293D1D">
      <w:pPr>
        <w:pStyle w:val="Default"/>
        <w:jc w:val="both"/>
        <w:rPr>
          <w:rFonts w:ascii="Arial" w:hAnsi="Arial" w:cs="Arial"/>
          <w:sz w:val="20"/>
          <w:szCs w:val="20"/>
        </w:rPr>
      </w:pPr>
      <w:r w:rsidRPr="00CA32FD">
        <w:rPr>
          <w:rStyle w:val="Rimandonotaapidipagina"/>
          <w:rFonts w:ascii="Arial" w:hAnsi="Arial" w:cs="Arial"/>
          <w:sz w:val="20"/>
          <w:szCs w:val="20"/>
        </w:rPr>
        <w:footnoteRef/>
      </w:r>
      <w:r w:rsidRPr="00CA32FD">
        <w:rPr>
          <w:rFonts w:ascii="Arial" w:hAnsi="Arial" w:cs="Arial"/>
          <w:sz w:val="20"/>
          <w:szCs w:val="20"/>
        </w:rPr>
        <w:t xml:space="preserve"> Regolamento </w:t>
      </w:r>
      <w:r w:rsidR="002C17E9" w:rsidRPr="00CA32FD">
        <w:rPr>
          <w:rFonts w:ascii="Arial" w:hAnsi="Arial" w:cs="Arial"/>
          <w:sz w:val="20"/>
          <w:szCs w:val="20"/>
        </w:rPr>
        <w:t xml:space="preserve">2018/1999 del Parlamento e del Consiglio Europeo </w:t>
      </w:r>
      <w:r w:rsidRPr="00CA32FD">
        <w:rPr>
          <w:rFonts w:ascii="Arial" w:hAnsi="Arial" w:cs="Arial"/>
          <w:sz w:val="20"/>
          <w:szCs w:val="20"/>
        </w:rPr>
        <w:t xml:space="preserve">dell'11 dicembre 2018 sulla governance dell'Unione dell'energia e dell'azione per il clima che </w:t>
      </w:r>
      <w:r w:rsidRPr="003B1EA7">
        <w:rPr>
          <w:rFonts w:ascii="Arial" w:hAnsi="Arial" w:cs="Arial"/>
          <w:sz w:val="20"/>
          <w:szCs w:val="20"/>
        </w:rPr>
        <w:t>modifica le direttive (CE) n. 663/2009 e (CE) n. 715/2009 del Parlamento europeo e del Consiglio, le direttive 94/22/CE, 98/70/CE, 2009/31/CE, 2009/73/CE, 2010/31/UE, 2012/27/UE e 2013/30/UE del Parlamento europeo e del Consiglio, le direttive del Consigli</w:t>
      </w:r>
      <w:r w:rsidRPr="00293D1D">
        <w:rPr>
          <w:rFonts w:ascii="Arial" w:hAnsi="Arial" w:cs="Arial"/>
          <w:sz w:val="20"/>
          <w:szCs w:val="20"/>
        </w:rPr>
        <w:t>o 2009/119/CE e (UE) 2015/652 e che abroga il regolamento (UE) n. 525/2013 del Parlamento europeo e del Consiglio</w:t>
      </w:r>
      <w:r w:rsidR="00484194" w:rsidRPr="00293D1D">
        <w:rPr>
          <w:rFonts w:ascii="Arial" w:hAnsi="Arial" w:cs="Arial"/>
          <w:sz w:val="20"/>
          <w:szCs w:val="20"/>
        </w:rPr>
        <w:t>.</w:t>
      </w:r>
    </w:p>
  </w:footnote>
  <w:footnote w:id="59">
    <w:p w14:paraId="5FB4E8BC" w14:textId="1F84AA39" w:rsidR="00ED6EBC" w:rsidRPr="00CA32FD" w:rsidRDefault="00ED6EBC" w:rsidP="00293D1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PQSF- articolo 1, comma 1082, della legge 27 dicembre 2006, n. 2964, Legge finanziaria 2007.</w:t>
      </w:r>
    </w:p>
  </w:footnote>
  <w:footnote w:id="60">
    <w:p w14:paraId="45000ECC" w14:textId="72EB0946" w:rsidR="009413F2" w:rsidRPr="00293D1D" w:rsidRDefault="009413F2" w:rsidP="00293D1D">
      <w:pPr>
        <w:pStyle w:val="Default"/>
        <w:jc w:val="both"/>
        <w:rPr>
          <w:rFonts w:ascii="Arial" w:hAnsi="Arial" w:cs="Arial"/>
          <w:sz w:val="20"/>
          <w:szCs w:val="20"/>
        </w:rPr>
      </w:pPr>
      <w:r w:rsidRPr="00CA32FD">
        <w:rPr>
          <w:rStyle w:val="Rimandonotaapidipagina"/>
          <w:rFonts w:ascii="Arial" w:hAnsi="Arial" w:cs="Arial"/>
          <w:sz w:val="20"/>
          <w:szCs w:val="20"/>
        </w:rPr>
        <w:footnoteRef/>
      </w:r>
      <w:r w:rsidRPr="00CA32FD">
        <w:rPr>
          <w:rFonts w:ascii="Arial" w:hAnsi="Arial" w:cs="Arial"/>
          <w:sz w:val="20"/>
          <w:szCs w:val="20"/>
        </w:rPr>
        <w:t xml:space="preserve"> </w:t>
      </w:r>
      <w:r w:rsidR="0045050D" w:rsidRPr="00CA32FD">
        <w:rPr>
          <w:rFonts w:ascii="Arial" w:hAnsi="Arial" w:cs="Arial"/>
          <w:sz w:val="20"/>
          <w:szCs w:val="20"/>
        </w:rPr>
        <w:t xml:space="preserve">Bozza preliminare della Strategia Forestale </w:t>
      </w:r>
      <w:r w:rsidR="0045050D" w:rsidRPr="003B1EA7">
        <w:rPr>
          <w:rFonts w:ascii="Arial" w:hAnsi="Arial" w:cs="Arial"/>
          <w:sz w:val="20"/>
          <w:szCs w:val="20"/>
        </w:rPr>
        <w:t>Nazionale redatta a cura del Gruppo di lavoro incaricato dal Mipaaf, in attuazione dell’art. 6, comma 1, del Decreto legislativo 3 aprile 2018, n.34</w:t>
      </w:r>
      <w:r w:rsidR="004A479C" w:rsidRPr="00293D1D">
        <w:rPr>
          <w:rFonts w:ascii="Arial" w:hAnsi="Arial" w:cs="Arial"/>
          <w:sz w:val="20"/>
          <w:szCs w:val="20"/>
        </w:rPr>
        <w:t xml:space="preserve"> -</w:t>
      </w:r>
      <w:r w:rsidR="0045050D" w:rsidRPr="00293D1D">
        <w:rPr>
          <w:rFonts w:ascii="Arial" w:hAnsi="Arial" w:cs="Arial"/>
          <w:sz w:val="20"/>
          <w:szCs w:val="20"/>
        </w:rPr>
        <w:t xml:space="preserve"> </w:t>
      </w:r>
      <w:proofErr w:type="gramStart"/>
      <w:r w:rsidR="0045050D" w:rsidRPr="00293D1D">
        <w:rPr>
          <w:rFonts w:ascii="Arial" w:hAnsi="Arial" w:cs="Arial"/>
          <w:sz w:val="20"/>
          <w:szCs w:val="20"/>
        </w:rPr>
        <w:t>Febbraio</w:t>
      </w:r>
      <w:proofErr w:type="gramEnd"/>
      <w:r w:rsidR="0045050D" w:rsidRPr="00293D1D">
        <w:rPr>
          <w:rFonts w:ascii="Arial" w:hAnsi="Arial" w:cs="Arial"/>
          <w:sz w:val="20"/>
          <w:szCs w:val="20"/>
        </w:rPr>
        <w:t xml:space="preserve"> 2020</w:t>
      </w:r>
    </w:p>
  </w:footnote>
  <w:footnote w:id="61">
    <w:p w14:paraId="3FAC7D43" w14:textId="6E5EC181" w:rsidR="00892179" w:rsidRPr="003B1EA7" w:rsidRDefault="00892179" w:rsidP="00293D1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Come del resto previsto </w:t>
      </w:r>
      <w:r w:rsidR="008F1AFE" w:rsidRPr="00CA32FD">
        <w:rPr>
          <w:rFonts w:ascii="Arial" w:hAnsi="Arial" w:cs="Arial"/>
        </w:rPr>
        <w:t>da</w:t>
      </w:r>
      <w:r w:rsidRPr="003B1EA7">
        <w:rPr>
          <w:rFonts w:ascii="Arial" w:hAnsi="Arial" w:cs="Arial"/>
        </w:rPr>
        <w:t>ll’articolo 6, comma 2 del decreto legislativo 3 aprile 2018, n. 34</w:t>
      </w:r>
      <w:r w:rsidR="008F1AFE" w:rsidRPr="003B1EA7">
        <w:rPr>
          <w:rFonts w:ascii="Arial" w:hAnsi="Arial" w:cs="Arial"/>
        </w:rPr>
        <w:t>.</w:t>
      </w:r>
    </w:p>
  </w:footnote>
  <w:footnote w:id="62">
    <w:p w14:paraId="6331C4C5" w14:textId="0A9BC3E6" w:rsidR="00B036F3" w:rsidRPr="00CA32FD" w:rsidRDefault="00B036F3" w:rsidP="00293D1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Tale Sistema è ormai diffuso in molte Regioni italiane. </w:t>
      </w:r>
    </w:p>
  </w:footnote>
  <w:footnote w:id="63">
    <w:p w14:paraId="78900B6A" w14:textId="4D316CA9" w:rsidR="003A1987" w:rsidRPr="00293D1D" w:rsidRDefault="003A1987" w:rsidP="00293D1D">
      <w:pPr>
        <w:widowControl/>
        <w:adjustRightInd w:val="0"/>
        <w:jc w:val="both"/>
        <w:rPr>
          <w:rFonts w:ascii="Arial" w:hAnsi="Arial" w:cs="Arial"/>
          <w:sz w:val="20"/>
          <w:szCs w:val="20"/>
          <w:lang w:val="en-GB"/>
        </w:rPr>
      </w:pPr>
      <w:r w:rsidRPr="00CA32FD">
        <w:rPr>
          <w:rStyle w:val="Rimandonotaapidipagina"/>
          <w:rFonts w:ascii="Arial" w:hAnsi="Arial" w:cs="Arial"/>
          <w:sz w:val="20"/>
          <w:szCs w:val="20"/>
        </w:rPr>
        <w:footnoteRef/>
      </w:r>
      <w:r w:rsidRPr="00CA32FD">
        <w:rPr>
          <w:rFonts w:ascii="Arial" w:hAnsi="Arial" w:cs="Arial"/>
          <w:sz w:val="20"/>
          <w:szCs w:val="20"/>
          <w:lang w:val="en-GB"/>
        </w:rPr>
        <w:t xml:space="preserve"> </w:t>
      </w:r>
      <w:r w:rsidR="00165AF5" w:rsidRPr="00CA32FD">
        <w:rPr>
          <w:rFonts w:ascii="Arial" w:eastAsiaTheme="minorHAnsi" w:hAnsi="Arial" w:cs="Arial"/>
          <w:sz w:val="20"/>
          <w:szCs w:val="20"/>
          <w:lang w:val="en-GB"/>
        </w:rPr>
        <w:t xml:space="preserve">United Nations Framework Convention on Climate Change </w:t>
      </w:r>
      <w:r w:rsidRPr="00CA32FD">
        <w:rPr>
          <w:rFonts w:ascii="Arial" w:hAnsi="Arial" w:cs="Arial"/>
          <w:i/>
          <w:iCs/>
          <w:sz w:val="20"/>
          <w:szCs w:val="20"/>
          <w:lang w:val="en-GB"/>
        </w:rPr>
        <w:t>CDM Methodology Boo</w:t>
      </w:r>
      <w:r w:rsidR="00165AF5" w:rsidRPr="00CA32FD">
        <w:rPr>
          <w:rFonts w:ascii="Arial" w:hAnsi="Arial" w:cs="Arial"/>
          <w:i/>
          <w:iCs/>
          <w:sz w:val="20"/>
          <w:szCs w:val="20"/>
          <w:lang w:val="en-GB"/>
        </w:rPr>
        <w:t>k</w:t>
      </w:r>
      <w:r w:rsidRPr="003B1EA7">
        <w:rPr>
          <w:rFonts w:ascii="Arial" w:hAnsi="Arial" w:cs="Arial"/>
          <w:i/>
          <w:iCs/>
          <w:sz w:val="20"/>
          <w:szCs w:val="20"/>
          <w:lang w:val="en-GB"/>
        </w:rPr>
        <w:t>let</w:t>
      </w:r>
      <w:r w:rsidRPr="003B1EA7">
        <w:rPr>
          <w:rFonts w:ascii="Arial" w:hAnsi="Arial" w:cs="Arial"/>
          <w:sz w:val="20"/>
          <w:szCs w:val="20"/>
          <w:lang w:val="en-GB"/>
        </w:rPr>
        <w:t xml:space="preserve">, </w:t>
      </w:r>
      <w:proofErr w:type="spellStart"/>
      <w:r w:rsidR="00F45BDF" w:rsidRPr="003B1EA7">
        <w:rPr>
          <w:rFonts w:ascii="Arial" w:hAnsi="Arial" w:cs="Arial"/>
          <w:sz w:val="20"/>
          <w:szCs w:val="20"/>
          <w:lang w:val="en-GB"/>
        </w:rPr>
        <w:t>twelth</w:t>
      </w:r>
      <w:proofErr w:type="spellEnd"/>
      <w:r w:rsidR="00F45BDF" w:rsidRPr="003B1EA7">
        <w:rPr>
          <w:rFonts w:ascii="Arial" w:hAnsi="Arial" w:cs="Arial"/>
          <w:sz w:val="20"/>
          <w:szCs w:val="20"/>
          <w:lang w:val="en-GB"/>
        </w:rPr>
        <w:t xml:space="preserve"> edition, December 2020. </w:t>
      </w:r>
    </w:p>
  </w:footnote>
  <w:footnote w:id="64">
    <w:p w14:paraId="59131DEC" w14:textId="1D7374D3" w:rsidR="00132D9E" w:rsidRPr="00293D1D" w:rsidRDefault="00132D9E" w:rsidP="00293D1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Nel CDM non sono previste specificamente attività LULUCF ma </w:t>
      </w:r>
      <w:r w:rsidR="00BB24B3" w:rsidRPr="00CA32FD">
        <w:rPr>
          <w:rFonts w:ascii="Arial" w:hAnsi="Arial" w:cs="Arial"/>
        </w:rPr>
        <w:t xml:space="preserve">soprattutto Piani di </w:t>
      </w:r>
      <w:proofErr w:type="spellStart"/>
      <w:r w:rsidR="00BB24B3" w:rsidRPr="00CA32FD">
        <w:rPr>
          <w:rFonts w:ascii="Arial" w:hAnsi="Arial" w:cs="Arial"/>
        </w:rPr>
        <w:t>Afforestazione</w:t>
      </w:r>
      <w:proofErr w:type="spellEnd"/>
      <w:r w:rsidR="00BB24B3" w:rsidRPr="00CA32FD">
        <w:rPr>
          <w:rFonts w:ascii="Arial" w:hAnsi="Arial" w:cs="Arial"/>
        </w:rPr>
        <w:t xml:space="preserve"> o Riforestazione, anche se sono una quota marginale rispetto alle altre tipologie di progetti di riduzione delle emissioni nei Paesi in via di Sviluppo</w:t>
      </w:r>
      <w:r w:rsidR="00892571" w:rsidRPr="003B1EA7">
        <w:rPr>
          <w:rFonts w:ascii="Arial" w:hAnsi="Arial" w:cs="Arial"/>
        </w:rPr>
        <w:t>. Nel JI invece sono previsti anche progetti di tipo LULUCF, anche se ne è stato sviluppato solo uno</w:t>
      </w:r>
      <w:r w:rsidR="003A1987" w:rsidRPr="00293D1D">
        <w:rPr>
          <w:rFonts w:ascii="Arial" w:hAnsi="Arial" w:cs="Arial"/>
        </w:rPr>
        <w:t xml:space="preserve"> in Russia</w:t>
      </w:r>
    </w:p>
  </w:footnote>
  <w:footnote w:id="65">
    <w:p w14:paraId="0BD60FC5" w14:textId="77777777" w:rsidR="009A2BE5" w:rsidRPr="00CA32FD" w:rsidRDefault="009A2BE5" w:rsidP="00293D1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w:t>
      </w:r>
      <w:r w:rsidRPr="00CA32FD">
        <w:rPr>
          <w:rFonts w:ascii="Arial" w:hAnsi="Arial" w:cs="Arial"/>
          <w:color w:val="202122"/>
        </w:rPr>
        <w:t>scenario di riferimento baseline o BAU per i progetti forestali</w:t>
      </w:r>
      <w:r w:rsidRPr="00CA32FD">
        <w:rPr>
          <w:rFonts w:ascii="Arial" w:hAnsi="Arial" w:cs="Arial"/>
          <w:i/>
          <w:iCs/>
          <w:color w:val="202122"/>
        </w:rPr>
        <w:t>.</w:t>
      </w:r>
    </w:p>
  </w:footnote>
  <w:footnote w:id="66">
    <w:p w14:paraId="08D6FE15" w14:textId="2E01C85B" w:rsidR="00436890" w:rsidRPr="00293D1D" w:rsidRDefault="00436890" w:rsidP="00293D1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I dati sono presi dal</w:t>
      </w:r>
      <w:r w:rsidR="00C52493" w:rsidRPr="00CA32FD">
        <w:rPr>
          <w:rFonts w:ascii="Arial" w:hAnsi="Arial" w:cs="Arial"/>
        </w:rPr>
        <w:t>l’</w:t>
      </w:r>
      <w:proofErr w:type="spellStart"/>
      <w:r w:rsidR="00C52493" w:rsidRPr="00CA32FD">
        <w:rPr>
          <w:rFonts w:ascii="Arial" w:hAnsi="Arial" w:cs="Arial"/>
        </w:rPr>
        <w:t>Italian</w:t>
      </w:r>
      <w:proofErr w:type="spellEnd"/>
      <w:r w:rsidR="00C52493" w:rsidRPr="00CA32FD">
        <w:rPr>
          <w:rFonts w:ascii="Arial" w:hAnsi="Arial" w:cs="Arial"/>
        </w:rPr>
        <w:t xml:space="preserve"> </w:t>
      </w:r>
      <w:proofErr w:type="spellStart"/>
      <w:r w:rsidR="00C52493" w:rsidRPr="00CA32FD">
        <w:rPr>
          <w:rFonts w:ascii="Arial" w:hAnsi="Arial" w:cs="Arial"/>
        </w:rPr>
        <w:t>Green</w:t>
      </w:r>
      <w:r w:rsidR="00A36F0A" w:rsidRPr="00CA32FD">
        <w:rPr>
          <w:rFonts w:ascii="Arial" w:hAnsi="Arial" w:cs="Arial"/>
        </w:rPr>
        <w:t>house</w:t>
      </w:r>
      <w:proofErr w:type="spellEnd"/>
      <w:r w:rsidR="00A36F0A" w:rsidRPr="00CA32FD">
        <w:rPr>
          <w:rFonts w:ascii="Arial" w:hAnsi="Arial" w:cs="Arial"/>
        </w:rPr>
        <w:t xml:space="preserve"> National Inventory</w:t>
      </w:r>
      <w:r w:rsidR="001D7353" w:rsidRPr="003B1EA7">
        <w:rPr>
          <w:rFonts w:ascii="Arial" w:hAnsi="Arial" w:cs="Arial"/>
        </w:rPr>
        <w:t>1990-2019</w:t>
      </w:r>
      <w:r w:rsidR="00A36F0A" w:rsidRPr="003B1EA7">
        <w:rPr>
          <w:rFonts w:ascii="Arial" w:hAnsi="Arial" w:cs="Arial"/>
        </w:rPr>
        <w:t xml:space="preserve">, National </w:t>
      </w:r>
      <w:r w:rsidR="001D7353" w:rsidRPr="003B1EA7">
        <w:rPr>
          <w:rFonts w:ascii="Arial" w:hAnsi="Arial" w:cs="Arial"/>
        </w:rPr>
        <w:t>Inventory Report 2021</w:t>
      </w:r>
      <w:r w:rsidR="002B2573" w:rsidRPr="003B1EA7">
        <w:rPr>
          <w:rFonts w:ascii="Arial" w:hAnsi="Arial" w:cs="Arial"/>
        </w:rPr>
        <w:t xml:space="preserve"> redatto da ISPRA, tabella a pagina 357. </w:t>
      </w:r>
    </w:p>
  </w:footnote>
  <w:footnote w:id="67">
    <w:p w14:paraId="3539346B" w14:textId="51D980BE" w:rsidR="004C3D64" w:rsidRPr="00293D1D" w:rsidRDefault="004C3D64" w:rsidP="00293D1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w:t>
      </w:r>
      <w:r w:rsidR="00E553F7" w:rsidRPr="00CA32FD">
        <w:rPr>
          <w:rFonts w:ascii="Arial" w:hAnsi="Arial" w:cs="Arial"/>
        </w:rPr>
        <w:t>Sembra che parecchi anni fa, all’epoca dell’istituzione del Protocollo di Kyoto in Italia si fosse chiesto alle Regioni, nell’ambito della Conferenza Stato Regioni</w:t>
      </w:r>
      <w:r w:rsidR="000126FD" w:rsidRPr="003B1EA7">
        <w:rPr>
          <w:rFonts w:ascii="Arial" w:hAnsi="Arial" w:cs="Arial"/>
        </w:rPr>
        <w:t>, se volessero la competenza per i crediti di carbonio ma la cosa non trovò consenso tra le Regioni. Oggi</w:t>
      </w:r>
      <w:r w:rsidR="000126FD" w:rsidRPr="00293D1D">
        <w:rPr>
          <w:rFonts w:ascii="Arial" w:hAnsi="Arial" w:cs="Arial"/>
        </w:rPr>
        <w:t xml:space="preserve">, comunque, il momento storico è completamente diverso. </w:t>
      </w:r>
    </w:p>
  </w:footnote>
  <w:footnote w:id="68">
    <w:p w14:paraId="1FFD2285" w14:textId="4C219423" w:rsidR="00680548" w:rsidRPr="00464E3A" w:rsidRDefault="00680548" w:rsidP="00293D1D">
      <w:pPr>
        <w:pStyle w:val="Testonotaapidipagina"/>
        <w:jc w:val="both"/>
        <w:rPr>
          <w:rFonts w:ascii="Arial" w:hAnsi="Arial" w:cs="Arial"/>
        </w:rPr>
      </w:pPr>
      <w:r w:rsidRPr="00CA32FD">
        <w:rPr>
          <w:rStyle w:val="Rimandonotaapidipagina"/>
          <w:rFonts w:ascii="Arial" w:hAnsi="Arial" w:cs="Arial"/>
        </w:rPr>
        <w:footnoteRef/>
      </w:r>
      <w:r w:rsidRPr="00CA32FD">
        <w:rPr>
          <w:rFonts w:ascii="Arial" w:hAnsi="Arial" w:cs="Arial"/>
        </w:rPr>
        <w:t xml:space="preserve"> Si può poi discutere se la presenza di Piano di Assestamento possa rappresentare un’addizionalità rispetto al</w:t>
      </w:r>
      <w:r w:rsidRPr="00464E3A">
        <w:rPr>
          <w:rFonts w:ascii="Arial" w:hAnsi="Arial" w:cs="Arial"/>
        </w:rPr>
        <w:t xml:space="preserve"> FRL oppure no</w:t>
      </w:r>
      <w:r w:rsidR="00863B03" w:rsidRPr="00464E3A">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26DC2" w14:textId="77777777" w:rsidR="00064EE6" w:rsidRDefault="0011547D">
    <w:pPr>
      <w:pStyle w:val="Corpotesto"/>
      <w:spacing w:line="14" w:lineRule="auto"/>
      <w:rPr>
        <w:sz w:val="20"/>
      </w:rPr>
    </w:pPr>
    <w:r>
      <w:pict w14:anchorId="79126DC4">
        <v:shape id="_x0000_s2056" style="position:absolute;margin-left:0;margin-top:13.45pt;width:61.1pt;height:79.1pt;z-index:-251658240;mso-position-horizontal-relative:page;mso-position-vertical-relative:page" coordorigin=",269" coordsize="1222,1582" path="m,269l,1851,1222,1060,,269xe" fillcolor="#f90" stroked="f">
          <v:path arrowok="t"/>
          <w10:wrap anchorx="page" anchory="page"/>
        </v:shape>
      </w:pict>
    </w:r>
    <w:r w:rsidR="00DD325B">
      <w:rPr>
        <w:noProof/>
      </w:rPr>
      <w:drawing>
        <wp:anchor distT="0" distB="0" distL="0" distR="0" simplePos="0" relativeHeight="251657216" behindDoc="1" locked="0" layoutInCell="1" allowOverlap="1" wp14:anchorId="79126DC5" wp14:editId="79126DC6">
          <wp:simplePos x="0" y="0"/>
          <wp:positionH relativeFrom="page">
            <wp:posOffset>1075688</wp:posOffset>
          </wp:positionH>
          <wp:positionV relativeFrom="page">
            <wp:posOffset>375920</wp:posOffset>
          </wp:positionV>
          <wp:extent cx="1987791" cy="6121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87791" cy="61213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3B3F"/>
    <w:multiLevelType w:val="hybridMultilevel"/>
    <w:tmpl w:val="2602A21C"/>
    <w:lvl w:ilvl="0" w:tplc="0410000F">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02CD224F"/>
    <w:multiLevelType w:val="hybridMultilevel"/>
    <w:tmpl w:val="BD7266AC"/>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4061C1E"/>
    <w:multiLevelType w:val="hybridMultilevel"/>
    <w:tmpl w:val="DE261C26"/>
    <w:lvl w:ilvl="0" w:tplc="04100013">
      <w:start w:val="1"/>
      <w:numFmt w:val="upperRoman"/>
      <w:lvlText w:val="%1."/>
      <w:lvlJc w:val="righ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 w15:restartNumberingAfterBreak="0">
    <w:nsid w:val="08014B60"/>
    <w:multiLevelType w:val="hybridMultilevel"/>
    <w:tmpl w:val="B63CAE0C"/>
    <w:lvl w:ilvl="0" w:tplc="6DF00348">
      <w:start w:val="1"/>
      <w:numFmt w:val="decimal"/>
      <w:lvlText w:val="%1."/>
      <w:lvlJc w:val="left"/>
      <w:pPr>
        <w:tabs>
          <w:tab w:val="num" w:pos="360"/>
        </w:tabs>
        <w:ind w:left="360" w:hanging="360"/>
      </w:pPr>
    </w:lvl>
    <w:lvl w:ilvl="1" w:tplc="5E7044B6" w:tentative="1">
      <w:start w:val="1"/>
      <w:numFmt w:val="decimal"/>
      <w:lvlText w:val="%2."/>
      <w:lvlJc w:val="left"/>
      <w:pPr>
        <w:tabs>
          <w:tab w:val="num" w:pos="1080"/>
        </w:tabs>
        <w:ind w:left="1080" w:hanging="360"/>
      </w:pPr>
    </w:lvl>
    <w:lvl w:ilvl="2" w:tplc="8E4C85FA" w:tentative="1">
      <w:start w:val="1"/>
      <w:numFmt w:val="decimal"/>
      <w:lvlText w:val="%3."/>
      <w:lvlJc w:val="left"/>
      <w:pPr>
        <w:tabs>
          <w:tab w:val="num" w:pos="1800"/>
        </w:tabs>
        <w:ind w:left="1800" w:hanging="360"/>
      </w:pPr>
    </w:lvl>
    <w:lvl w:ilvl="3" w:tplc="57FE2AF2" w:tentative="1">
      <w:start w:val="1"/>
      <w:numFmt w:val="decimal"/>
      <w:lvlText w:val="%4."/>
      <w:lvlJc w:val="left"/>
      <w:pPr>
        <w:tabs>
          <w:tab w:val="num" w:pos="2520"/>
        </w:tabs>
        <w:ind w:left="2520" w:hanging="360"/>
      </w:pPr>
    </w:lvl>
    <w:lvl w:ilvl="4" w:tplc="E8B8903C" w:tentative="1">
      <w:start w:val="1"/>
      <w:numFmt w:val="decimal"/>
      <w:lvlText w:val="%5."/>
      <w:lvlJc w:val="left"/>
      <w:pPr>
        <w:tabs>
          <w:tab w:val="num" w:pos="3240"/>
        </w:tabs>
        <w:ind w:left="3240" w:hanging="360"/>
      </w:pPr>
    </w:lvl>
    <w:lvl w:ilvl="5" w:tplc="CF023E84" w:tentative="1">
      <w:start w:val="1"/>
      <w:numFmt w:val="decimal"/>
      <w:lvlText w:val="%6."/>
      <w:lvlJc w:val="left"/>
      <w:pPr>
        <w:tabs>
          <w:tab w:val="num" w:pos="3960"/>
        </w:tabs>
        <w:ind w:left="3960" w:hanging="360"/>
      </w:pPr>
    </w:lvl>
    <w:lvl w:ilvl="6" w:tplc="C2E2CC5E" w:tentative="1">
      <w:start w:val="1"/>
      <w:numFmt w:val="decimal"/>
      <w:lvlText w:val="%7."/>
      <w:lvlJc w:val="left"/>
      <w:pPr>
        <w:tabs>
          <w:tab w:val="num" w:pos="4680"/>
        </w:tabs>
        <w:ind w:left="4680" w:hanging="360"/>
      </w:pPr>
    </w:lvl>
    <w:lvl w:ilvl="7" w:tplc="DC16EBB2" w:tentative="1">
      <w:start w:val="1"/>
      <w:numFmt w:val="decimal"/>
      <w:lvlText w:val="%8."/>
      <w:lvlJc w:val="left"/>
      <w:pPr>
        <w:tabs>
          <w:tab w:val="num" w:pos="5400"/>
        </w:tabs>
        <w:ind w:left="5400" w:hanging="360"/>
      </w:pPr>
    </w:lvl>
    <w:lvl w:ilvl="8" w:tplc="8B0262CC" w:tentative="1">
      <w:start w:val="1"/>
      <w:numFmt w:val="decimal"/>
      <w:lvlText w:val="%9."/>
      <w:lvlJc w:val="left"/>
      <w:pPr>
        <w:tabs>
          <w:tab w:val="num" w:pos="6120"/>
        </w:tabs>
        <w:ind w:left="6120" w:hanging="360"/>
      </w:pPr>
    </w:lvl>
  </w:abstractNum>
  <w:abstractNum w:abstractNumId="4" w15:restartNumberingAfterBreak="0">
    <w:nsid w:val="0C960EA9"/>
    <w:multiLevelType w:val="hybridMultilevel"/>
    <w:tmpl w:val="2286DBCA"/>
    <w:lvl w:ilvl="0" w:tplc="0410000D">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C0515D"/>
    <w:multiLevelType w:val="multilevel"/>
    <w:tmpl w:val="58E8473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2443F"/>
    <w:multiLevelType w:val="hybridMultilevel"/>
    <w:tmpl w:val="ED6E1F0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71F42EA"/>
    <w:multiLevelType w:val="multilevel"/>
    <w:tmpl w:val="ACD2614A"/>
    <w:lvl w:ilvl="0">
      <w:start w:val="1"/>
      <w:numFmt w:val="lowerRoman"/>
      <w:lvlText w:val="%1."/>
      <w:lvlJc w:val="righ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E481E"/>
    <w:multiLevelType w:val="hybridMultilevel"/>
    <w:tmpl w:val="B46C42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9671E3"/>
    <w:multiLevelType w:val="hybridMultilevel"/>
    <w:tmpl w:val="E32ED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8F16D4"/>
    <w:multiLevelType w:val="multilevel"/>
    <w:tmpl w:val="ACD2614A"/>
    <w:lvl w:ilvl="0">
      <w:start w:val="1"/>
      <w:numFmt w:val="lowerRoman"/>
      <w:lvlText w:val="%1."/>
      <w:lvlJc w:val="righ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CB1D78"/>
    <w:multiLevelType w:val="hybridMultilevel"/>
    <w:tmpl w:val="74AC8B70"/>
    <w:lvl w:ilvl="0" w:tplc="0410000B">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CF11159"/>
    <w:multiLevelType w:val="hybridMultilevel"/>
    <w:tmpl w:val="5FDAB1EE"/>
    <w:lvl w:ilvl="0" w:tplc="0410000D">
      <w:start w:val="1"/>
      <w:numFmt w:val="bullet"/>
      <w:lvlText w:val=""/>
      <w:lvlJc w:val="left"/>
      <w:pPr>
        <w:ind w:left="1080" w:hanging="360"/>
      </w:pPr>
      <w:rPr>
        <w:rFonts w:ascii="Wingdings" w:hAnsi="Wingdings" w:cs="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21B023DC"/>
    <w:multiLevelType w:val="hybridMultilevel"/>
    <w:tmpl w:val="C8946DB6"/>
    <w:lvl w:ilvl="0" w:tplc="0410000B">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96352D"/>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5" w15:restartNumberingAfterBreak="0">
    <w:nsid w:val="2703683E"/>
    <w:multiLevelType w:val="hybridMultilevel"/>
    <w:tmpl w:val="B518F29E"/>
    <w:lvl w:ilvl="0" w:tplc="0410000B">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874374E"/>
    <w:multiLevelType w:val="hybridMultilevel"/>
    <w:tmpl w:val="C9541B02"/>
    <w:lvl w:ilvl="0" w:tplc="96A6F940">
      <w:start w:val="1"/>
      <w:numFmt w:val="decimal"/>
      <w:lvlText w:val="%1."/>
      <w:lvlJc w:val="left"/>
      <w:pPr>
        <w:tabs>
          <w:tab w:val="num" w:pos="720"/>
        </w:tabs>
        <w:ind w:left="720" w:hanging="360"/>
      </w:pPr>
    </w:lvl>
    <w:lvl w:ilvl="1" w:tplc="D624B0AE">
      <w:start w:val="1"/>
      <w:numFmt w:val="lowerLetter"/>
      <w:lvlText w:val="%2)"/>
      <w:lvlJc w:val="left"/>
      <w:pPr>
        <w:tabs>
          <w:tab w:val="num" w:pos="1440"/>
        </w:tabs>
        <w:ind w:left="1440" w:hanging="360"/>
      </w:pPr>
    </w:lvl>
    <w:lvl w:ilvl="2" w:tplc="B554E7D0" w:tentative="1">
      <w:start w:val="1"/>
      <w:numFmt w:val="decimal"/>
      <w:lvlText w:val="%3."/>
      <w:lvlJc w:val="left"/>
      <w:pPr>
        <w:tabs>
          <w:tab w:val="num" w:pos="2160"/>
        </w:tabs>
        <w:ind w:left="2160" w:hanging="360"/>
      </w:pPr>
    </w:lvl>
    <w:lvl w:ilvl="3" w:tplc="A3AC6692" w:tentative="1">
      <w:start w:val="1"/>
      <w:numFmt w:val="decimal"/>
      <w:lvlText w:val="%4."/>
      <w:lvlJc w:val="left"/>
      <w:pPr>
        <w:tabs>
          <w:tab w:val="num" w:pos="2880"/>
        </w:tabs>
        <w:ind w:left="2880" w:hanging="360"/>
      </w:pPr>
    </w:lvl>
    <w:lvl w:ilvl="4" w:tplc="63005D1C" w:tentative="1">
      <w:start w:val="1"/>
      <w:numFmt w:val="decimal"/>
      <w:lvlText w:val="%5."/>
      <w:lvlJc w:val="left"/>
      <w:pPr>
        <w:tabs>
          <w:tab w:val="num" w:pos="3600"/>
        </w:tabs>
        <w:ind w:left="3600" w:hanging="360"/>
      </w:pPr>
    </w:lvl>
    <w:lvl w:ilvl="5" w:tplc="7C38DB0A" w:tentative="1">
      <w:start w:val="1"/>
      <w:numFmt w:val="decimal"/>
      <w:lvlText w:val="%6."/>
      <w:lvlJc w:val="left"/>
      <w:pPr>
        <w:tabs>
          <w:tab w:val="num" w:pos="4320"/>
        </w:tabs>
        <w:ind w:left="4320" w:hanging="360"/>
      </w:pPr>
    </w:lvl>
    <w:lvl w:ilvl="6" w:tplc="BE100082" w:tentative="1">
      <w:start w:val="1"/>
      <w:numFmt w:val="decimal"/>
      <w:lvlText w:val="%7."/>
      <w:lvlJc w:val="left"/>
      <w:pPr>
        <w:tabs>
          <w:tab w:val="num" w:pos="5040"/>
        </w:tabs>
        <w:ind w:left="5040" w:hanging="360"/>
      </w:pPr>
    </w:lvl>
    <w:lvl w:ilvl="7" w:tplc="BD0884F2" w:tentative="1">
      <w:start w:val="1"/>
      <w:numFmt w:val="decimal"/>
      <w:lvlText w:val="%8."/>
      <w:lvlJc w:val="left"/>
      <w:pPr>
        <w:tabs>
          <w:tab w:val="num" w:pos="5760"/>
        </w:tabs>
        <w:ind w:left="5760" w:hanging="360"/>
      </w:pPr>
    </w:lvl>
    <w:lvl w:ilvl="8" w:tplc="9CE8F4B6" w:tentative="1">
      <w:start w:val="1"/>
      <w:numFmt w:val="decimal"/>
      <w:lvlText w:val="%9."/>
      <w:lvlJc w:val="left"/>
      <w:pPr>
        <w:tabs>
          <w:tab w:val="num" w:pos="6480"/>
        </w:tabs>
        <w:ind w:left="6480" w:hanging="360"/>
      </w:pPr>
    </w:lvl>
  </w:abstractNum>
  <w:abstractNum w:abstractNumId="17" w15:restartNumberingAfterBreak="0">
    <w:nsid w:val="2C3A76E7"/>
    <w:multiLevelType w:val="hybridMultilevel"/>
    <w:tmpl w:val="803613B0"/>
    <w:lvl w:ilvl="0" w:tplc="0410000D">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C864822"/>
    <w:multiLevelType w:val="hybridMultilevel"/>
    <w:tmpl w:val="00842D72"/>
    <w:lvl w:ilvl="0" w:tplc="0410000D">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DD62F98"/>
    <w:multiLevelType w:val="hybridMultilevel"/>
    <w:tmpl w:val="4208B128"/>
    <w:lvl w:ilvl="0" w:tplc="0410000B">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EAC4060"/>
    <w:multiLevelType w:val="multilevel"/>
    <w:tmpl w:val="58E8473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546D9E"/>
    <w:multiLevelType w:val="hybridMultilevel"/>
    <w:tmpl w:val="15B89D2C"/>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15:restartNumberingAfterBreak="0">
    <w:nsid w:val="38A00C10"/>
    <w:multiLevelType w:val="multilevel"/>
    <w:tmpl w:val="304E8B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9970CB0"/>
    <w:multiLevelType w:val="hybridMultilevel"/>
    <w:tmpl w:val="F2C05BC4"/>
    <w:lvl w:ilvl="0" w:tplc="0410000B">
      <w:start w:val="1"/>
      <w:numFmt w:val="bullet"/>
      <w:lvlText w:val=""/>
      <w:lvlJc w:val="left"/>
      <w:pPr>
        <w:ind w:left="1080" w:hanging="360"/>
      </w:pPr>
      <w:rPr>
        <w:rFonts w:ascii="Wingdings" w:hAnsi="Wingdings" w:cs="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3A687169"/>
    <w:multiLevelType w:val="hybridMultilevel"/>
    <w:tmpl w:val="1D36EE9E"/>
    <w:lvl w:ilvl="0" w:tplc="0410000D">
      <w:start w:val="1"/>
      <w:numFmt w:val="bullet"/>
      <w:lvlText w:val=""/>
      <w:lvlJc w:val="left"/>
      <w:pPr>
        <w:ind w:left="360" w:hanging="360"/>
      </w:pPr>
      <w:rPr>
        <w:rFonts w:ascii="Wingdings" w:hAnsi="Wingdings" w:cs="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3CE72915"/>
    <w:multiLevelType w:val="hybridMultilevel"/>
    <w:tmpl w:val="9048A576"/>
    <w:lvl w:ilvl="0" w:tplc="0410000F">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6" w15:restartNumberingAfterBreak="0">
    <w:nsid w:val="3D4538E8"/>
    <w:multiLevelType w:val="hybridMultilevel"/>
    <w:tmpl w:val="9AE83384"/>
    <w:lvl w:ilvl="0" w:tplc="04100017">
      <w:start w:val="1"/>
      <w:numFmt w:val="lowerLetter"/>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7" w15:restartNumberingAfterBreak="0">
    <w:nsid w:val="411631D6"/>
    <w:multiLevelType w:val="hybridMultilevel"/>
    <w:tmpl w:val="195401E4"/>
    <w:lvl w:ilvl="0" w:tplc="0410000D">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56862B9"/>
    <w:multiLevelType w:val="hybridMultilevel"/>
    <w:tmpl w:val="31307D9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9" w15:restartNumberingAfterBreak="0">
    <w:nsid w:val="46026E1D"/>
    <w:multiLevelType w:val="hybridMultilevel"/>
    <w:tmpl w:val="1C4C00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6277BD9"/>
    <w:multiLevelType w:val="hybridMultilevel"/>
    <w:tmpl w:val="F260EA7E"/>
    <w:lvl w:ilvl="0" w:tplc="0410000B">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6FA1E91"/>
    <w:multiLevelType w:val="multilevel"/>
    <w:tmpl w:val="ACD2614A"/>
    <w:lvl w:ilvl="0">
      <w:start w:val="1"/>
      <w:numFmt w:val="lowerRoman"/>
      <w:lvlText w:val="%1."/>
      <w:lvlJc w:val="righ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A534BE"/>
    <w:multiLevelType w:val="hybridMultilevel"/>
    <w:tmpl w:val="34F6199E"/>
    <w:lvl w:ilvl="0" w:tplc="0410001B">
      <w:start w:val="1"/>
      <w:numFmt w:val="lowerRoman"/>
      <w:lvlText w:val="%1."/>
      <w:lvlJc w:val="righ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3" w15:restartNumberingAfterBreak="0">
    <w:nsid w:val="4C1E711B"/>
    <w:multiLevelType w:val="hybridMultilevel"/>
    <w:tmpl w:val="ECAC4A42"/>
    <w:lvl w:ilvl="0" w:tplc="089A3986">
      <w:start w:val="1"/>
      <w:numFmt w:val="decimal"/>
      <w:lvlText w:val="%1."/>
      <w:lvlJc w:val="left"/>
      <w:pPr>
        <w:tabs>
          <w:tab w:val="num" w:pos="1287"/>
        </w:tabs>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4" w15:restartNumberingAfterBreak="0">
    <w:nsid w:val="50DA7091"/>
    <w:multiLevelType w:val="hybridMultilevel"/>
    <w:tmpl w:val="5DFC2286"/>
    <w:lvl w:ilvl="0" w:tplc="04100015">
      <w:start w:val="1"/>
      <w:numFmt w:val="upperLetter"/>
      <w:lvlText w:val="%1."/>
      <w:lvlJc w:val="left"/>
      <w:pPr>
        <w:ind w:left="720" w:hanging="360"/>
      </w:pPr>
    </w:lvl>
    <w:lvl w:ilvl="1" w:tplc="B96C17A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1CB13D8"/>
    <w:multiLevelType w:val="hybridMultilevel"/>
    <w:tmpl w:val="47226798"/>
    <w:lvl w:ilvl="0" w:tplc="0410000F">
      <w:start w:val="1"/>
      <w:numFmt w:val="decimal"/>
      <w:lvlText w:val="%1."/>
      <w:lvlJc w:val="left"/>
      <w:pPr>
        <w:ind w:left="720" w:hanging="360"/>
      </w:pPr>
    </w:lvl>
    <w:lvl w:ilvl="1" w:tplc="B96C17A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2961A86"/>
    <w:multiLevelType w:val="hybridMultilevel"/>
    <w:tmpl w:val="7DBAE80E"/>
    <w:lvl w:ilvl="0" w:tplc="0410000B">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94154ED"/>
    <w:multiLevelType w:val="hybridMultilevel"/>
    <w:tmpl w:val="E2706DFE"/>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5F9112A0"/>
    <w:multiLevelType w:val="hybridMultilevel"/>
    <w:tmpl w:val="9D0693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FD81E30"/>
    <w:multiLevelType w:val="hybridMultilevel"/>
    <w:tmpl w:val="B866CACE"/>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0" w15:restartNumberingAfterBreak="0">
    <w:nsid w:val="5FF62534"/>
    <w:multiLevelType w:val="hybridMultilevel"/>
    <w:tmpl w:val="D5E2F1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84748FC"/>
    <w:multiLevelType w:val="hybridMultilevel"/>
    <w:tmpl w:val="7A6885B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917718A"/>
    <w:multiLevelType w:val="hybridMultilevel"/>
    <w:tmpl w:val="F6C0E928"/>
    <w:lvl w:ilvl="0" w:tplc="3E628B82">
      <w:start w:val="1"/>
      <w:numFmt w:val="decimal"/>
      <w:lvlText w:val="%1."/>
      <w:lvlJc w:val="left"/>
      <w:pPr>
        <w:tabs>
          <w:tab w:val="num" w:pos="720"/>
        </w:tabs>
        <w:ind w:left="720" w:hanging="360"/>
      </w:pPr>
    </w:lvl>
    <w:lvl w:ilvl="1" w:tplc="7A20C11A" w:tentative="1">
      <w:start w:val="1"/>
      <w:numFmt w:val="decimal"/>
      <w:lvlText w:val="%2."/>
      <w:lvlJc w:val="left"/>
      <w:pPr>
        <w:tabs>
          <w:tab w:val="num" w:pos="1440"/>
        </w:tabs>
        <w:ind w:left="1440" w:hanging="360"/>
      </w:pPr>
    </w:lvl>
    <w:lvl w:ilvl="2" w:tplc="873A24B0" w:tentative="1">
      <w:start w:val="1"/>
      <w:numFmt w:val="decimal"/>
      <w:lvlText w:val="%3."/>
      <w:lvlJc w:val="left"/>
      <w:pPr>
        <w:tabs>
          <w:tab w:val="num" w:pos="2160"/>
        </w:tabs>
        <w:ind w:left="2160" w:hanging="360"/>
      </w:pPr>
    </w:lvl>
    <w:lvl w:ilvl="3" w:tplc="C5167094" w:tentative="1">
      <w:start w:val="1"/>
      <w:numFmt w:val="decimal"/>
      <w:lvlText w:val="%4."/>
      <w:lvlJc w:val="left"/>
      <w:pPr>
        <w:tabs>
          <w:tab w:val="num" w:pos="2880"/>
        </w:tabs>
        <w:ind w:left="2880" w:hanging="360"/>
      </w:pPr>
    </w:lvl>
    <w:lvl w:ilvl="4" w:tplc="72EC217A" w:tentative="1">
      <w:start w:val="1"/>
      <w:numFmt w:val="decimal"/>
      <w:lvlText w:val="%5."/>
      <w:lvlJc w:val="left"/>
      <w:pPr>
        <w:tabs>
          <w:tab w:val="num" w:pos="3600"/>
        </w:tabs>
        <w:ind w:left="3600" w:hanging="360"/>
      </w:pPr>
    </w:lvl>
    <w:lvl w:ilvl="5" w:tplc="A1DCE522" w:tentative="1">
      <w:start w:val="1"/>
      <w:numFmt w:val="decimal"/>
      <w:lvlText w:val="%6."/>
      <w:lvlJc w:val="left"/>
      <w:pPr>
        <w:tabs>
          <w:tab w:val="num" w:pos="4320"/>
        </w:tabs>
        <w:ind w:left="4320" w:hanging="360"/>
      </w:pPr>
    </w:lvl>
    <w:lvl w:ilvl="6" w:tplc="CEBE01DE" w:tentative="1">
      <w:start w:val="1"/>
      <w:numFmt w:val="decimal"/>
      <w:lvlText w:val="%7."/>
      <w:lvlJc w:val="left"/>
      <w:pPr>
        <w:tabs>
          <w:tab w:val="num" w:pos="5040"/>
        </w:tabs>
        <w:ind w:left="5040" w:hanging="360"/>
      </w:pPr>
    </w:lvl>
    <w:lvl w:ilvl="7" w:tplc="DBFCD938" w:tentative="1">
      <w:start w:val="1"/>
      <w:numFmt w:val="decimal"/>
      <w:lvlText w:val="%8."/>
      <w:lvlJc w:val="left"/>
      <w:pPr>
        <w:tabs>
          <w:tab w:val="num" w:pos="5760"/>
        </w:tabs>
        <w:ind w:left="5760" w:hanging="360"/>
      </w:pPr>
    </w:lvl>
    <w:lvl w:ilvl="8" w:tplc="DD98A57E" w:tentative="1">
      <w:start w:val="1"/>
      <w:numFmt w:val="decimal"/>
      <w:lvlText w:val="%9."/>
      <w:lvlJc w:val="left"/>
      <w:pPr>
        <w:tabs>
          <w:tab w:val="num" w:pos="6480"/>
        </w:tabs>
        <w:ind w:left="6480" w:hanging="360"/>
      </w:pPr>
    </w:lvl>
  </w:abstractNum>
  <w:abstractNum w:abstractNumId="43" w15:restartNumberingAfterBreak="0">
    <w:nsid w:val="6A631820"/>
    <w:multiLevelType w:val="hybridMultilevel"/>
    <w:tmpl w:val="4DB45B78"/>
    <w:lvl w:ilvl="0" w:tplc="0410000B">
      <w:start w:val="1"/>
      <w:numFmt w:val="bullet"/>
      <w:lvlText w:val=""/>
      <w:lvlJc w:val="left"/>
      <w:pPr>
        <w:ind w:left="927" w:hanging="360"/>
      </w:pPr>
      <w:rPr>
        <w:rFonts w:ascii="Wingdings" w:hAnsi="Wingdings" w:cs="Wingding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4" w15:restartNumberingAfterBreak="0">
    <w:nsid w:val="6D243F7B"/>
    <w:multiLevelType w:val="hybridMultilevel"/>
    <w:tmpl w:val="479A53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DF10526"/>
    <w:multiLevelType w:val="multilevel"/>
    <w:tmpl w:val="304E8B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715B716B"/>
    <w:multiLevelType w:val="hybridMultilevel"/>
    <w:tmpl w:val="E176E7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6DD5E55"/>
    <w:multiLevelType w:val="hybridMultilevel"/>
    <w:tmpl w:val="7FA8F416"/>
    <w:lvl w:ilvl="0" w:tplc="0410000D">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8D4279B"/>
    <w:multiLevelType w:val="hybridMultilevel"/>
    <w:tmpl w:val="E612D8C4"/>
    <w:lvl w:ilvl="0" w:tplc="0410000D">
      <w:start w:val="1"/>
      <w:numFmt w:val="bullet"/>
      <w:lvlText w:val=""/>
      <w:lvlJc w:val="left"/>
      <w:pPr>
        <w:ind w:left="720" w:hanging="360"/>
      </w:pPr>
      <w:rPr>
        <w:rFonts w:ascii="Wingdings" w:hAnsi="Wingdings" w:cs="Wingdings" w:hint="default"/>
      </w:rPr>
    </w:lvl>
    <w:lvl w:ilvl="1" w:tplc="5364B276">
      <w:start w:val="3"/>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9AE536C"/>
    <w:multiLevelType w:val="hybridMultilevel"/>
    <w:tmpl w:val="1534E92A"/>
    <w:lvl w:ilvl="0" w:tplc="0410000D">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79FC1D21"/>
    <w:multiLevelType w:val="hybridMultilevel"/>
    <w:tmpl w:val="4F2A85E2"/>
    <w:lvl w:ilvl="0" w:tplc="0410000B">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A1B1ED6"/>
    <w:multiLevelType w:val="hybridMultilevel"/>
    <w:tmpl w:val="842037B2"/>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2" w15:restartNumberingAfterBreak="0">
    <w:nsid w:val="7DA5038C"/>
    <w:multiLevelType w:val="hybridMultilevel"/>
    <w:tmpl w:val="87F2B2C8"/>
    <w:lvl w:ilvl="0" w:tplc="0410000D">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45"/>
  </w:num>
  <w:num w:numId="4">
    <w:abstractNumId w:val="22"/>
  </w:num>
  <w:num w:numId="5">
    <w:abstractNumId w:val="39"/>
  </w:num>
  <w:num w:numId="6">
    <w:abstractNumId w:val="44"/>
  </w:num>
  <w:num w:numId="7">
    <w:abstractNumId w:val="37"/>
  </w:num>
  <w:num w:numId="8">
    <w:abstractNumId w:val="6"/>
  </w:num>
  <w:num w:numId="9">
    <w:abstractNumId w:val="3"/>
  </w:num>
  <w:num w:numId="10">
    <w:abstractNumId w:val="16"/>
  </w:num>
  <w:num w:numId="11">
    <w:abstractNumId w:val="42"/>
  </w:num>
  <w:num w:numId="12">
    <w:abstractNumId w:val="1"/>
  </w:num>
  <w:num w:numId="13">
    <w:abstractNumId w:val="32"/>
  </w:num>
  <w:num w:numId="14">
    <w:abstractNumId w:val="40"/>
  </w:num>
  <w:num w:numId="15">
    <w:abstractNumId w:val="51"/>
  </w:num>
  <w:num w:numId="16">
    <w:abstractNumId w:val="2"/>
  </w:num>
  <w:num w:numId="17">
    <w:abstractNumId w:val="38"/>
  </w:num>
  <w:num w:numId="18">
    <w:abstractNumId w:val="49"/>
  </w:num>
  <w:num w:numId="19">
    <w:abstractNumId w:val="29"/>
  </w:num>
  <w:num w:numId="20">
    <w:abstractNumId w:val="17"/>
  </w:num>
  <w:num w:numId="21">
    <w:abstractNumId w:val="11"/>
  </w:num>
  <w:num w:numId="22">
    <w:abstractNumId w:val="46"/>
  </w:num>
  <w:num w:numId="23">
    <w:abstractNumId w:val="41"/>
  </w:num>
  <w:num w:numId="24">
    <w:abstractNumId w:val="35"/>
  </w:num>
  <w:num w:numId="25">
    <w:abstractNumId w:val="30"/>
  </w:num>
  <w:num w:numId="26">
    <w:abstractNumId w:val="8"/>
  </w:num>
  <w:num w:numId="27">
    <w:abstractNumId w:val="13"/>
  </w:num>
  <w:num w:numId="28">
    <w:abstractNumId w:val="50"/>
  </w:num>
  <w:num w:numId="29">
    <w:abstractNumId w:val="36"/>
  </w:num>
  <w:num w:numId="30">
    <w:abstractNumId w:val="15"/>
  </w:num>
  <w:num w:numId="31">
    <w:abstractNumId w:val="18"/>
  </w:num>
  <w:num w:numId="32">
    <w:abstractNumId w:val="27"/>
  </w:num>
  <w:num w:numId="33">
    <w:abstractNumId w:val="21"/>
  </w:num>
  <w:num w:numId="34">
    <w:abstractNumId w:val="48"/>
  </w:num>
  <w:num w:numId="35">
    <w:abstractNumId w:val="34"/>
  </w:num>
  <w:num w:numId="36">
    <w:abstractNumId w:val="5"/>
  </w:num>
  <w:num w:numId="37">
    <w:abstractNumId w:val="20"/>
  </w:num>
  <w:num w:numId="38">
    <w:abstractNumId w:val="52"/>
  </w:num>
  <w:num w:numId="39">
    <w:abstractNumId w:val="7"/>
  </w:num>
  <w:num w:numId="40">
    <w:abstractNumId w:val="33"/>
  </w:num>
  <w:num w:numId="41">
    <w:abstractNumId w:val="0"/>
  </w:num>
  <w:num w:numId="42">
    <w:abstractNumId w:val="24"/>
  </w:num>
  <w:num w:numId="43">
    <w:abstractNumId w:val="31"/>
  </w:num>
  <w:num w:numId="44">
    <w:abstractNumId w:val="12"/>
  </w:num>
  <w:num w:numId="45">
    <w:abstractNumId w:val="23"/>
  </w:num>
  <w:num w:numId="46">
    <w:abstractNumId w:val="43"/>
  </w:num>
  <w:num w:numId="47">
    <w:abstractNumId w:val="4"/>
  </w:num>
  <w:num w:numId="48">
    <w:abstractNumId w:val="10"/>
  </w:num>
  <w:num w:numId="49">
    <w:abstractNumId w:val="25"/>
  </w:num>
  <w:num w:numId="50">
    <w:abstractNumId w:val="28"/>
  </w:num>
  <w:num w:numId="51">
    <w:abstractNumId w:val="26"/>
  </w:num>
  <w:num w:numId="52">
    <w:abstractNumId w:val="47"/>
  </w:num>
  <w:num w:numId="53">
    <w:abstractNumId w:val="9"/>
  </w:num>
  <w:num w:numId="54">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hyphenationZone w:val="283"/>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64EE6"/>
    <w:rsid w:val="000002F4"/>
    <w:rsid w:val="00000713"/>
    <w:rsid w:val="00000A41"/>
    <w:rsid w:val="000014D4"/>
    <w:rsid w:val="00001AA8"/>
    <w:rsid w:val="00001D15"/>
    <w:rsid w:val="0000217F"/>
    <w:rsid w:val="000023B6"/>
    <w:rsid w:val="00003212"/>
    <w:rsid w:val="00003A14"/>
    <w:rsid w:val="000062AD"/>
    <w:rsid w:val="00006AB4"/>
    <w:rsid w:val="00006D00"/>
    <w:rsid w:val="00007E61"/>
    <w:rsid w:val="000103E3"/>
    <w:rsid w:val="000111E5"/>
    <w:rsid w:val="000115C8"/>
    <w:rsid w:val="000126FD"/>
    <w:rsid w:val="000129C1"/>
    <w:rsid w:val="00014B70"/>
    <w:rsid w:val="000164D4"/>
    <w:rsid w:val="00016B09"/>
    <w:rsid w:val="000173E2"/>
    <w:rsid w:val="00017574"/>
    <w:rsid w:val="0001777B"/>
    <w:rsid w:val="0001789B"/>
    <w:rsid w:val="000203CC"/>
    <w:rsid w:val="000206A3"/>
    <w:rsid w:val="00020A88"/>
    <w:rsid w:val="00020EA2"/>
    <w:rsid w:val="000210FC"/>
    <w:rsid w:val="0002145C"/>
    <w:rsid w:val="00021AE8"/>
    <w:rsid w:val="0002271E"/>
    <w:rsid w:val="00022BCA"/>
    <w:rsid w:val="00023E5C"/>
    <w:rsid w:val="000248A9"/>
    <w:rsid w:val="0002654A"/>
    <w:rsid w:val="00026757"/>
    <w:rsid w:val="000270FE"/>
    <w:rsid w:val="000271F5"/>
    <w:rsid w:val="00031A76"/>
    <w:rsid w:val="00031B12"/>
    <w:rsid w:val="000330BD"/>
    <w:rsid w:val="00033D62"/>
    <w:rsid w:val="00033E76"/>
    <w:rsid w:val="0003417F"/>
    <w:rsid w:val="00034715"/>
    <w:rsid w:val="00036534"/>
    <w:rsid w:val="0003653D"/>
    <w:rsid w:val="00036654"/>
    <w:rsid w:val="00036B0C"/>
    <w:rsid w:val="00036F51"/>
    <w:rsid w:val="00037C26"/>
    <w:rsid w:val="00037C69"/>
    <w:rsid w:val="00040500"/>
    <w:rsid w:val="000414C5"/>
    <w:rsid w:val="00041909"/>
    <w:rsid w:val="00041959"/>
    <w:rsid w:val="00041AF4"/>
    <w:rsid w:val="00043DBB"/>
    <w:rsid w:val="0004402A"/>
    <w:rsid w:val="000443DE"/>
    <w:rsid w:val="00044635"/>
    <w:rsid w:val="00044CD9"/>
    <w:rsid w:val="000454AC"/>
    <w:rsid w:val="00045707"/>
    <w:rsid w:val="00046AD4"/>
    <w:rsid w:val="000478B2"/>
    <w:rsid w:val="00051AF7"/>
    <w:rsid w:val="000532D0"/>
    <w:rsid w:val="00053817"/>
    <w:rsid w:val="00053D7B"/>
    <w:rsid w:val="000542BB"/>
    <w:rsid w:val="000544AF"/>
    <w:rsid w:val="00054D7B"/>
    <w:rsid w:val="00054DE5"/>
    <w:rsid w:val="00055EB4"/>
    <w:rsid w:val="000563F5"/>
    <w:rsid w:val="00056F21"/>
    <w:rsid w:val="00057030"/>
    <w:rsid w:val="00057526"/>
    <w:rsid w:val="000578A6"/>
    <w:rsid w:val="00057B0E"/>
    <w:rsid w:val="0006098D"/>
    <w:rsid w:val="000617AC"/>
    <w:rsid w:val="00061F29"/>
    <w:rsid w:val="00063305"/>
    <w:rsid w:val="000636E5"/>
    <w:rsid w:val="0006409E"/>
    <w:rsid w:val="00064EE6"/>
    <w:rsid w:val="000655EB"/>
    <w:rsid w:val="000659BA"/>
    <w:rsid w:val="0006717F"/>
    <w:rsid w:val="000674BE"/>
    <w:rsid w:val="00067BD2"/>
    <w:rsid w:val="00070633"/>
    <w:rsid w:val="000709E6"/>
    <w:rsid w:val="00071529"/>
    <w:rsid w:val="00072AE7"/>
    <w:rsid w:val="000734BF"/>
    <w:rsid w:val="00073ABB"/>
    <w:rsid w:val="00073D85"/>
    <w:rsid w:val="0007485E"/>
    <w:rsid w:val="00075149"/>
    <w:rsid w:val="000755EE"/>
    <w:rsid w:val="00075698"/>
    <w:rsid w:val="00075707"/>
    <w:rsid w:val="000757E9"/>
    <w:rsid w:val="00076117"/>
    <w:rsid w:val="0007669C"/>
    <w:rsid w:val="00076986"/>
    <w:rsid w:val="00077573"/>
    <w:rsid w:val="0008147B"/>
    <w:rsid w:val="0008152D"/>
    <w:rsid w:val="000816A3"/>
    <w:rsid w:val="000828C5"/>
    <w:rsid w:val="0008297C"/>
    <w:rsid w:val="00082CDF"/>
    <w:rsid w:val="000834A5"/>
    <w:rsid w:val="00084769"/>
    <w:rsid w:val="00084D2F"/>
    <w:rsid w:val="00084FF8"/>
    <w:rsid w:val="00085495"/>
    <w:rsid w:val="000855A4"/>
    <w:rsid w:val="000864A2"/>
    <w:rsid w:val="00086724"/>
    <w:rsid w:val="0009006F"/>
    <w:rsid w:val="00090EA8"/>
    <w:rsid w:val="0009193E"/>
    <w:rsid w:val="00091DDB"/>
    <w:rsid w:val="00092546"/>
    <w:rsid w:val="00092954"/>
    <w:rsid w:val="00093A64"/>
    <w:rsid w:val="000948AF"/>
    <w:rsid w:val="00094FD5"/>
    <w:rsid w:val="00095832"/>
    <w:rsid w:val="00096150"/>
    <w:rsid w:val="00096610"/>
    <w:rsid w:val="000A06C7"/>
    <w:rsid w:val="000A08C6"/>
    <w:rsid w:val="000A1793"/>
    <w:rsid w:val="000A1996"/>
    <w:rsid w:val="000A253D"/>
    <w:rsid w:val="000A29AE"/>
    <w:rsid w:val="000A2E77"/>
    <w:rsid w:val="000A2FFD"/>
    <w:rsid w:val="000A4FE9"/>
    <w:rsid w:val="000A58DE"/>
    <w:rsid w:val="000A71C5"/>
    <w:rsid w:val="000A7283"/>
    <w:rsid w:val="000A7349"/>
    <w:rsid w:val="000A75B6"/>
    <w:rsid w:val="000A79AC"/>
    <w:rsid w:val="000A7AC6"/>
    <w:rsid w:val="000A7D02"/>
    <w:rsid w:val="000B1800"/>
    <w:rsid w:val="000B1992"/>
    <w:rsid w:val="000B22E7"/>
    <w:rsid w:val="000B296E"/>
    <w:rsid w:val="000B3CD6"/>
    <w:rsid w:val="000B425A"/>
    <w:rsid w:val="000B588E"/>
    <w:rsid w:val="000B5982"/>
    <w:rsid w:val="000B60CA"/>
    <w:rsid w:val="000C04D4"/>
    <w:rsid w:val="000C0970"/>
    <w:rsid w:val="000C0D22"/>
    <w:rsid w:val="000C1195"/>
    <w:rsid w:val="000C205B"/>
    <w:rsid w:val="000C20C6"/>
    <w:rsid w:val="000C23F0"/>
    <w:rsid w:val="000C3A8B"/>
    <w:rsid w:val="000C3C58"/>
    <w:rsid w:val="000C45CA"/>
    <w:rsid w:val="000C4D47"/>
    <w:rsid w:val="000C573C"/>
    <w:rsid w:val="000C5EA9"/>
    <w:rsid w:val="000C7845"/>
    <w:rsid w:val="000C7A04"/>
    <w:rsid w:val="000D00E0"/>
    <w:rsid w:val="000D0623"/>
    <w:rsid w:val="000D1E02"/>
    <w:rsid w:val="000D1ED9"/>
    <w:rsid w:val="000D29BB"/>
    <w:rsid w:val="000D3229"/>
    <w:rsid w:val="000D3800"/>
    <w:rsid w:val="000D407E"/>
    <w:rsid w:val="000D40C0"/>
    <w:rsid w:val="000D42B0"/>
    <w:rsid w:val="000D531D"/>
    <w:rsid w:val="000D5775"/>
    <w:rsid w:val="000D583C"/>
    <w:rsid w:val="000D61AA"/>
    <w:rsid w:val="000D669C"/>
    <w:rsid w:val="000D71DF"/>
    <w:rsid w:val="000E0D51"/>
    <w:rsid w:val="000E2101"/>
    <w:rsid w:val="000E321B"/>
    <w:rsid w:val="000E3F92"/>
    <w:rsid w:val="000E41EB"/>
    <w:rsid w:val="000E5D19"/>
    <w:rsid w:val="000E6BFB"/>
    <w:rsid w:val="000F18F1"/>
    <w:rsid w:val="000F2B4A"/>
    <w:rsid w:val="000F2E04"/>
    <w:rsid w:val="000F3923"/>
    <w:rsid w:val="000F4508"/>
    <w:rsid w:val="000F49F5"/>
    <w:rsid w:val="000F50E1"/>
    <w:rsid w:val="000F5484"/>
    <w:rsid w:val="000F57F8"/>
    <w:rsid w:val="000F65DB"/>
    <w:rsid w:val="000F69AB"/>
    <w:rsid w:val="000F6B41"/>
    <w:rsid w:val="000F710F"/>
    <w:rsid w:val="000F745F"/>
    <w:rsid w:val="001006B1"/>
    <w:rsid w:val="00100F63"/>
    <w:rsid w:val="0010120F"/>
    <w:rsid w:val="00101D00"/>
    <w:rsid w:val="00101F11"/>
    <w:rsid w:val="00102941"/>
    <w:rsid w:val="00102D62"/>
    <w:rsid w:val="00105793"/>
    <w:rsid w:val="00105935"/>
    <w:rsid w:val="001059D8"/>
    <w:rsid w:val="00106772"/>
    <w:rsid w:val="00107AB0"/>
    <w:rsid w:val="00110200"/>
    <w:rsid w:val="00110536"/>
    <w:rsid w:val="00110DC4"/>
    <w:rsid w:val="001126BE"/>
    <w:rsid w:val="0011378E"/>
    <w:rsid w:val="00113A0F"/>
    <w:rsid w:val="00113B84"/>
    <w:rsid w:val="0011449B"/>
    <w:rsid w:val="0011495D"/>
    <w:rsid w:val="0011521A"/>
    <w:rsid w:val="00115366"/>
    <w:rsid w:val="0011547D"/>
    <w:rsid w:val="001157EB"/>
    <w:rsid w:val="0011678F"/>
    <w:rsid w:val="00116B43"/>
    <w:rsid w:val="00116EB4"/>
    <w:rsid w:val="001176D1"/>
    <w:rsid w:val="0012001E"/>
    <w:rsid w:val="001208C4"/>
    <w:rsid w:val="001214C6"/>
    <w:rsid w:val="00122E01"/>
    <w:rsid w:val="001233B4"/>
    <w:rsid w:val="001238A4"/>
    <w:rsid w:val="001239EC"/>
    <w:rsid w:val="001249E6"/>
    <w:rsid w:val="0012563C"/>
    <w:rsid w:val="00125C0C"/>
    <w:rsid w:val="00125D71"/>
    <w:rsid w:val="00125E4A"/>
    <w:rsid w:val="00125F07"/>
    <w:rsid w:val="00126D45"/>
    <w:rsid w:val="001275AD"/>
    <w:rsid w:val="00127C63"/>
    <w:rsid w:val="001302EF"/>
    <w:rsid w:val="001305A9"/>
    <w:rsid w:val="00130F82"/>
    <w:rsid w:val="00132D9E"/>
    <w:rsid w:val="0013423B"/>
    <w:rsid w:val="0013488F"/>
    <w:rsid w:val="00134C48"/>
    <w:rsid w:val="00134E80"/>
    <w:rsid w:val="0013622A"/>
    <w:rsid w:val="0013688D"/>
    <w:rsid w:val="00136D63"/>
    <w:rsid w:val="00136F6A"/>
    <w:rsid w:val="00137FA6"/>
    <w:rsid w:val="00140193"/>
    <w:rsid w:val="0014020E"/>
    <w:rsid w:val="00140704"/>
    <w:rsid w:val="00140708"/>
    <w:rsid w:val="00141186"/>
    <w:rsid w:val="00141B6B"/>
    <w:rsid w:val="00141C33"/>
    <w:rsid w:val="00142735"/>
    <w:rsid w:val="00142C0D"/>
    <w:rsid w:val="0014308D"/>
    <w:rsid w:val="0014329E"/>
    <w:rsid w:val="00143325"/>
    <w:rsid w:val="00143BA4"/>
    <w:rsid w:val="00143F97"/>
    <w:rsid w:val="00144218"/>
    <w:rsid w:val="00144E0E"/>
    <w:rsid w:val="00145474"/>
    <w:rsid w:val="00145DC7"/>
    <w:rsid w:val="00146254"/>
    <w:rsid w:val="00146264"/>
    <w:rsid w:val="001465E8"/>
    <w:rsid w:val="00146EDA"/>
    <w:rsid w:val="0014796C"/>
    <w:rsid w:val="00150C8F"/>
    <w:rsid w:val="001515B4"/>
    <w:rsid w:val="00152E26"/>
    <w:rsid w:val="0015305F"/>
    <w:rsid w:val="001543DE"/>
    <w:rsid w:val="0015468D"/>
    <w:rsid w:val="00155092"/>
    <w:rsid w:val="001553BC"/>
    <w:rsid w:val="00155D00"/>
    <w:rsid w:val="00156063"/>
    <w:rsid w:val="001568F5"/>
    <w:rsid w:val="00157231"/>
    <w:rsid w:val="0015733F"/>
    <w:rsid w:val="00157467"/>
    <w:rsid w:val="00160126"/>
    <w:rsid w:val="001602E1"/>
    <w:rsid w:val="001608B3"/>
    <w:rsid w:val="00160C2E"/>
    <w:rsid w:val="001611DD"/>
    <w:rsid w:val="001613E2"/>
    <w:rsid w:val="001622AE"/>
    <w:rsid w:val="00162796"/>
    <w:rsid w:val="00162C0E"/>
    <w:rsid w:val="001635F1"/>
    <w:rsid w:val="00163C59"/>
    <w:rsid w:val="00163DED"/>
    <w:rsid w:val="00164E3F"/>
    <w:rsid w:val="00164F5D"/>
    <w:rsid w:val="001659B0"/>
    <w:rsid w:val="00165AF5"/>
    <w:rsid w:val="00165C10"/>
    <w:rsid w:val="00165D5C"/>
    <w:rsid w:val="001673AE"/>
    <w:rsid w:val="001700ED"/>
    <w:rsid w:val="0017027D"/>
    <w:rsid w:val="001708FE"/>
    <w:rsid w:val="00170D0D"/>
    <w:rsid w:val="00171022"/>
    <w:rsid w:val="001710CD"/>
    <w:rsid w:val="00171B2C"/>
    <w:rsid w:val="00171D83"/>
    <w:rsid w:val="00171DE2"/>
    <w:rsid w:val="001731EE"/>
    <w:rsid w:val="00173DF1"/>
    <w:rsid w:val="0017410B"/>
    <w:rsid w:val="00174D47"/>
    <w:rsid w:val="001756BD"/>
    <w:rsid w:val="00175935"/>
    <w:rsid w:val="00175B9A"/>
    <w:rsid w:val="001761E9"/>
    <w:rsid w:val="001763F0"/>
    <w:rsid w:val="0017644C"/>
    <w:rsid w:val="00180111"/>
    <w:rsid w:val="001804BE"/>
    <w:rsid w:val="00181211"/>
    <w:rsid w:val="00181400"/>
    <w:rsid w:val="00181468"/>
    <w:rsid w:val="00181A39"/>
    <w:rsid w:val="001827AA"/>
    <w:rsid w:val="00182E86"/>
    <w:rsid w:val="00184B01"/>
    <w:rsid w:val="00185C7E"/>
    <w:rsid w:val="00186462"/>
    <w:rsid w:val="00186942"/>
    <w:rsid w:val="00186CD2"/>
    <w:rsid w:val="001874C6"/>
    <w:rsid w:val="00187681"/>
    <w:rsid w:val="001902FB"/>
    <w:rsid w:val="00190631"/>
    <w:rsid w:val="001906BD"/>
    <w:rsid w:val="0019074A"/>
    <w:rsid w:val="001916F0"/>
    <w:rsid w:val="001921BD"/>
    <w:rsid w:val="00194A01"/>
    <w:rsid w:val="001959CF"/>
    <w:rsid w:val="00195B45"/>
    <w:rsid w:val="00195EE2"/>
    <w:rsid w:val="001969C5"/>
    <w:rsid w:val="00197237"/>
    <w:rsid w:val="00197545"/>
    <w:rsid w:val="0019768D"/>
    <w:rsid w:val="0019778E"/>
    <w:rsid w:val="00197B9C"/>
    <w:rsid w:val="001A2521"/>
    <w:rsid w:val="001A2A29"/>
    <w:rsid w:val="001A30D0"/>
    <w:rsid w:val="001A366A"/>
    <w:rsid w:val="001A36D2"/>
    <w:rsid w:val="001A39A1"/>
    <w:rsid w:val="001A3A13"/>
    <w:rsid w:val="001A3D72"/>
    <w:rsid w:val="001A488A"/>
    <w:rsid w:val="001A4F3E"/>
    <w:rsid w:val="001A75ED"/>
    <w:rsid w:val="001A7687"/>
    <w:rsid w:val="001A7F88"/>
    <w:rsid w:val="001B0315"/>
    <w:rsid w:val="001B0535"/>
    <w:rsid w:val="001B0F35"/>
    <w:rsid w:val="001B107B"/>
    <w:rsid w:val="001B10E8"/>
    <w:rsid w:val="001B1165"/>
    <w:rsid w:val="001B1738"/>
    <w:rsid w:val="001B3198"/>
    <w:rsid w:val="001B5855"/>
    <w:rsid w:val="001B6973"/>
    <w:rsid w:val="001B7F5D"/>
    <w:rsid w:val="001C13E5"/>
    <w:rsid w:val="001C1436"/>
    <w:rsid w:val="001C1C79"/>
    <w:rsid w:val="001C39F9"/>
    <w:rsid w:val="001C4391"/>
    <w:rsid w:val="001C442E"/>
    <w:rsid w:val="001C48E6"/>
    <w:rsid w:val="001C4B7C"/>
    <w:rsid w:val="001C56DA"/>
    <w:rsid w:val="001C57F5"/>
    <w:rsid w:val="001C700A"/>
    <w:rsid w:val="001C7CF9"/>
    <w:rsid w:val="001D2159"/>
    <w:rsid w:val="001D28DE"/>
    <w:rsid w:val="001D2F0F"/>
    <w:rsid w:val="001D31A2"/>
    <w:rsid w:val="001D3270"/>
    <w:rsid w:val="001D34D1"/>
    <w:rsid w:val="001D451A"/>
    <w:rsid w:val="001D4AAA"/>
    <w:rsid w:val="001D4D0B"/>
    <w:rsid w:val="001D4F6A"/>
    <w:rsid w:val="001D5B1E"/>
    <w:rsid w:val="001D5F68"/>
    <w:rsid w:val="001D6E4B"/>
    <w:rsid w:val="001D7353"/>
    <w:rsid w:val="001D774F"/>
    <w:rsid w:val="001D7783"/>
    <w:rsid w:val="001D7CAE"/>
    <w:rsid w:val="001E01FB"/>
    <w:rsid w:val="001E04F1"/>
    <w:rsid w:val="001E1280"/>
    <w:rsid w:val="001E312A"/>
    <w:rsid w:val="001E31A7"/>
    <w:rsid w:val="001E3CAC"/>
    <w:rsid w:val="001E3CF4"/>
    <w:rsid w:val="001E47C6"/>
    <w:rsid w:val="001E51EB"/>
    <w:rsid w:val="001E553A"/>
    <w:rsid w:val="001E5B54"/>
    <w:rsid w:val="001E65F3"/>
    <w:rsid w:val="001E75EC"/>
    <w:rsid w:val="001F0D12"/>
    <w:rsid w:val="001F0F84"/>
    <w:rsid w:val="001F1160"/>
    <w:rsid w:val="001F218F"/>
    <w:rsid w:val="001F2D2A"/>
    <w:rsid w:val="001F4DDC"/>
    <w:rsid w:val="001F4EBB"/>
    <w:rsid w:val="001F5F92"/>
    <w:rsid w:val="001F69E3"/>
    <w:rsid w:val="001F74F0"/>
    <w:rsid w:val="001F7612"/>
    <w:rsid w:val="001F7817"/>
    <w:rsid w:val="00202287"/>
    <w:rsid w:val="002030BE"/>
    <w:rsid w:val="00204628"/>
    <w:rsid w:val="0020588F"/>
    <w:rsid w:val="00205E16"/>
    <w:rsid w:val="00206E65"/>
    <w:rsid w:val="00207D6D"/>
    <w:rsid w:val="002102FC"/>
    <w:rsid w:val="00210B66"/>
    <w:rsid w:val="00210FC2"/>
    <w:rsid w:val="00214603"/>
    <w:rsid w:val="002149DA"/>
    <w:rsid w:val="0021581B"/>
    <w:rsid w:val="00215B4A"/>
    <w:rsid w:val="00217CB9"/>
    <w:rsid w:val="0022132F"/>
    <w:rsid w:val="00221370"/>
    <w:rsid w:val="0022144E"/>
    <w:rsid w:val="00221627"/>
    <w:rsid w:val="002218E6"/>
    <w:rsid w:val="00222380"/>
    <w:rsid w:val="002232D1"/>
    <w:rsid w:val="0022383E"/>
    <w:rsid w:val="00223CCB"/>
    <w:rsid w:val="002240B7"/>
    <w:rsid w:val="00224910"/>
    <w:rsid w:val="00225243"/>
    <w:rsid w:val="00225EC4"/>
    <w:rsid w:val="00227308"/>
    <w:rsid w:val="002302D4"/>
    <w:rsid w:val="00231D50"/>
    <w:rsid w:val="00232019"/>
    <w:rsid w:val="002339E1"/>
    <w:rsid w:val="00233D5A"/>
    <w:rsid w:val="00233F02"/>
    <w:rsid w:val="00236C01"/>
    <w:rsid w:val="00236E92"/>
    <w:rsid w:val="00237A5B"/>
    <w:rsid w:val="002400CC"/>
    <w:rsid w:val="002411A5"/>
    <w:rsid w:val="00241236"/>
    <w:rsid w:val="0024180B"/>
    <w:rsid w:val="00241CB3"/>
    <w:rsid w:val="00241CE0"/>
    <w:rsid w:val="00242A70"/>
    <w:rsid w:val="00242FF7"/>
    <w:rsid w:val="00243629"/>
    <w:rsid w:val="00244DBC"/>
    <w:rsid w:val="002453AB"/>
    <w:rsid w:val="00246D76"/>
    <w:rsid w:val="002478D8"/>
    <w:rsid w:val="00247E79"/>
    <w:rsid w:val="00252E50"/>
    <w:rsid w:val="0025313B"/>
    <w:rsid w:val="00255310"/>
    <w:rsid w:val="00255370"/>
    <w:rsid w:val="00256904"/>
    <w:rsid w:val="00260841"/>
    <w:rsid w:val="00261BB1"/>
    <w:rsid w:val="002627F3"/>
    <w:rsid w:val="002628AF"/>
    <w:rsid w:val="00263851"/>
    <w:rsid w:val="00263A58"/>
    <w:rsid w:val="0026432D"/>
    <w:rsid w:val="00264AE3"/>
    <w:rsid w:val="002650FF"/>
    <w:rsid w:val="002677C3"/>
    <w:rsid w:val="00267811"/>
    <w:rsid w:val="0027014A"/>
    <w:rsid w:val="002703E0"/>
    <w:rsid w:val="00270D68"/>
    <w:rsid w:val="0027362C"/>
    <w:rsid w:val="00273E33"/>
    <w:rsid w:val="0027408F"/>
    <w:rsid w:val="002740E3"/>
    <w:rsid w:val="00275204"/>
    <w:rsid w:val="00275B49"/>
    <w:rsid w:val="00275D7B"/>
    <w:rsid w:val="00276053"/>
    <w:rsid w:val="0027646F"/>
    <w:rsid w:val="00276A63"/>
    <w:rsid w:val="002800D4"/>
    <w:rsid w:val="002803D3"/>
    <w:rsid w:val="00280B9D"/>
    <w:rsid w:val="00280F9B"/>
    <w:rsid w:val="00281281"/>
    <w:rsid w:val="00281862"/>
    <w:rsid w:val="0028379C"/>
    <w:rsid w:val="00283A7E"/>
    <w:rsid w:val="00283F6B"/>
    <w:rsid w:val="00285AC4"/>
    <w:rsid w:val="00285AEF"/>
    <w:rsid w:val="00285DA3"/>
    <w:rsid w:val="00286149"/>
    <w:rsid w:val="00286546"/>
    <w:rsid w:val="0028731D"/>
    <w:rsid w:val="0028758B"/>
    <w:rsid w:val="002879BC"/>
    <w:rsid w:val="00290972"/>
    <w:rsid w:val="00291140"/>
    <w:rsid w:val="002913E2"/>
    <w:rsid w:val="002914DB"/>
    <w:rsid w:val="00291836"/>
    <w:rsid w:val="00291902"/>
    <w:rsid w:val="00291959"/>
    <w:rsid w:val="00292612"/>
    <w:rsid w:val="00292E72"/>
    <w:rsid w:val="00293BCE"/>
    <w:rsid w:val="00293D1D"/>
    <w:rsid w:val="002944A1"/>
    <w:rsid w:val="00295359"/>
    <w:rsid w:val="0029593B"/>
    <w:rsid w:val="00295CBA"/>
    <w:rsid w:val="00296E18"/>
    <w:rsid w:val="0029727F"/>
    <w:rsid w:val="00297C08"/>
    <w:rsid w:val="002A0107"/>
    <w:rsid w:val="002A061F"/>
    <w:rsid w:val="002A0F98"/>
    <w:rsid w:val="002A25AB"/>
    <w:rsid w:val="002A294E"/>
    <w:rsid w:val="002A3B3B"/>
    <w:rsid w:val="002A4817"/>
    <w:rsid w:val="002A60CF"/>
    <w:rsid w:val="002A6AF7"/>
    <w:rsid w:val="002A7460"/>
    <w:rsid w:val="002B17B1"/>
    <w:rsid w:val="002B2573"/>
    <w:rsid w:val="002B3FED"/>
    <w:rsid w:val="002B47F3"/>
    <w:rsid w:val="002C02B0"/>
    <w:rsid w:val="002C0338"/>
    <w:rsid w:val="002C0748"/>
    <w:rsid w:val="002C0F18"/>
    <w:rsid w:val="002C17E9"/>
    <w:rsid w:val="002C29ED"/>
    <w:rsid w:val="002C3403"/>
    <w:rsid w:val="002C3BA9"/>
    <w:rsid w:val="002C3FF4"/>
    <w:rsid w:val="002C465B"/>
    <w:rsid w:val="002C4829"/>
    <w:rsid w:val="002C485C"/>
    <w:rsid w:val="002C495C"/>
    <w:rsid w:val="002C535F"/>
    <w:rsid w:val="002C606C"/>
    <w:rsid w:val="002C6DA8"/>
    <w:rsid w:val="002D09B4"/>
    <w:rsid w:val="002D12A7"/>
    <w:rsid w:val="002D13E2"/>
    <w:rsid w:val="002D22B4"/>
    <w:rsid w:val="002D2686"/>
    <w:rsid w:val="002D32B1"/>
    <w:rsid w:val="002D3462"/>
    <w:rsid w:val="002D35F3"/>
    <w:rsid w:val="002D550B"/>
    <w:rsid w:val="002D5D39"/>
    <w:rsid w:val="002D5F85"/>
    <w:rsid w:val="002D7B23"/>
    <w:rsid w:val="002D7F5B"/>
    <w:rsid w:val="002E0C7C"/>
    <w:rsid w:val="002E1085"/>
    <w:rsid w:val="002E12B1"/>
    <w:rsid w:val="002E133E"/>
    <w:rsid w:val="002E2BEC"/>
    <w:rsid w:val="002E4423"/>
    <w:rsid w:val="002E4952"/>
    <w:rsid w:val="002E4A32"/>
    <w:rsid w:val="002E4C22"/>
    <w:rsid w:val="002E56FF"/>
    <w:rsid w:val="002E62D5"/>
    <w:rsid w:val="002E64B8"/>
    <w:rsid w:val="002E78A8"/>
    <w:rsid w:val="002F0520"/>
    <w:rsid w:val="002F08D9"/>
    <w:rsid w:val="002F0B88"/>
    <w:rsid w:val="002F1231"/>
    <w:rsid w:val="002F1965"/>
    <w:rsid w:val="002F1E8B"/>
    <w:rsid w:val="002F2274"/>
    <w:rsid w:val="002F263C"/>
    <w:rsid w:val="002F29B0"/>
    <w:rsid w:val="002F435F"/>
    <w:rsid w:val="002F4DE1"/>
    <w:rsid w:val="002F5A7B"/>
    <w:rsid w:val="002F5AB0"/>
    <w:rsid w:val="002F75CD"/>
    <w:rsid w:val="002F771E"/>
    <w:rsid w:val="0030193F"/>
    <w:rsid w:val="0030333E"/>
    <w:rsid w:val="0030384D"/>
    <w:rsid w:val="003039AE"/>
    <w:rsid w:val="003039D3"/>
    <w:rsid w:val="00304611"/>
    <w:rsid w:val="00304C4C"/>
    <w:rsid w:val="003055B7"/>
    <w:rsid w:val="00305B55"/>
    <w:rsid w:val="00306D01"/>
    <w:rsid w:val="00306D48"/>
    <w:rsid w:val="00306EAB"/>
    <w:rsid w:val="00307646"/>
    <w:rsid w:val="003107C1"/>
    <w:rsid w:val="0031134B"/>
    <w:rsid w:val="00311458"/>
    <w:rsid w:val="003126AF"/>
    <w:rsid w:val="0031481E"/>
    <w:rsid w:val="003154CD"/>
    <w:rsid w:val="0031565B"/>
    <w:rsid w:val="00315693"/>
    <w:rsid w:val="00316004"/>
    <w:rsid w:val="0031733C"/>
    <w:rsid w:val="00317A74"/>
    <w:rsid w:val="00317B91"/>
    <w:rsid w:val="00320A10"/>
    <w:rsid w:val="00321ECF"/>
    <w:rsid w:val="00322DC7"/>
    <w:rsid w:val="00322E13"/>
    <w:rsid w:val="00322FCF"/>
    <w:rsid w:val="00324176"/>
    <w:rsid w:val="00324769"/>
    <w:rsid w:val="00324930"/>
    <w:rsid w:val="00324A3D"/>
    <w:rsid w:val="00324AE9"/>
    <w:rsid w:val="00325F99"/>
    <w:rsid w:val="003262CF"/>
    <w:rsid w:val="0032653B"/>
    <w:rsid w:val="0032660D"/>
    <w:rsid w:val="0032747B"/>
    <w:rsid w:val="00327972"/>
    <w:rsid w:val="00327BFA"/>
    <w:rsid w:val="00330952"/>
    <w:rsid w:val="00330BDB"/>
    <w:rsid w:val="00330F5F"/>
    <w:rsid w:val="00331F53"/>
    <w:rsid w:val="003329F1"/>
    <w:rsid w:val="0033334C"/>
    <w:rsid w:val="00334AFF"/>
    <w:rsid w:val="00334C3C"/>
    <w:rsid w:val="00334F42"/>
    <w:rsid w:val="00335323"/>
    <w:rsid w:val="003358B0"/>
    <w:rsid w:val="00335B16"/>
    <w:rsid w:val="00335F81"/>
    <w:rsid w:val="00335FBE"/>
    <w:rsid w:val="0033654D"/>
    <w:rsid w:val="00336734"/>
    <w:rsid w:val="00336BF4"/>
    <w:rsid w:val="00337AC6"/>
    <w:rsid w:val="00340A10"/>
    <w:rsid w:val="0034115D"/>
    <w:rsid w:val="00342EDC"/>
    <w:rsid w:val="00342FDE"/>
    <w:rsid w:val="00343901"/>
    <w:rsid w:val="0034481B"/>
    <w:rsid w:val="00345E1D"/>
    <w:rsid w:val="00346302"/>
    <w:rsid w:val="003472B4"/>
    <w:rsid w:val="00347542"/>
    <w:rsid w:val="003478B8"/>
    <w:rsid w:val="00347CC4"/>
    <w:rsid w:val="003501AF"/>
    <w:rsid w:val="00350402"/>
    <w:rsid w:val="00350829"/>
    <w:rsid w:val="00350B63"/>
    <w:rsid w:val="00352631"/>
    <w:rsid w:val="00352EE2"/>
    <w:rsid w:val="00353548"/>
    <w:rsid w:val="0035394F"/>
    <w:rsid w:val="003556AE"/>
    <w:rsid w:val="00355955"/>
    <w:rsid w:val="00355CBF"/>
    <w:rsid w:val="003566E5"/>
    <w:rsid w:val="00356E84"/>
    <w:rsid w:val="00357841"/>
    <w:rsid w:val="0036039A"/>
    <w:rsid w:val="00361145"/>
    <w:rsid w:val="003622FE"/>
    <w:rsid w:val="00362847"/>
    <w:rsid w:val="0036318D"/>
    <w:rsid w:val="00363E73"/>
    <w:rsid w:val="00364B3D"/>
    <w:rsid w:val="003654CA"/>
    <w:rsid w:val="00365B26"/>
    <w:rsid w:val="00365C06"/>
    <w:rsid w:val="00365FA0"/>
    <w:rsid w:val="0036605E"/>
    <w:rsid w:val="00367032"/>
    <w:rsid w:val="003670AC"/>
    <w:rsid w:val="0036782B"/>
    <w:rsid w:val="00367C32"/>
    <w:rsid w:val="003704C3"/>
    <w:rsid w:val="00370D1F"/>
    <w:rsid w:val="00370DD6"/>
    <w:rsid w:val="00372287"/>
    <w:rsid w:val="003723DD"/>
    <w:rsid w:val="00372FF9"/>
    <w:rsid w:val="00373272"/>
    <w:rsid w:val="00373E42"/>
    <w:rsid w:val="00374116"/>
    <w:rsid w:val="0037440D"/>
    <w:rsid w:val="0037560D"/>
    <w:rsid w:val="003759AC"/>
    <w:rsid w:val="00376A58"/>
    <w:rsid w:val="003774A4"/>
    <w:rsid w:val="003808D1"/>
    <w:rsid w:val="00381A53"/>
    <w:rsid w:val="00382291"/>
    <w:rsid w:val="00382318"/>
    <w:rsid w:val="003823C1"/>
    <w:rsid w:val="00383589"/>
    <w:rsid w:val="00383C03"/>
    <w:rsid w:val="00384BB0"/>
    <w:rsid w:val="00386698"/>
    <w:rsid w:val="00387D4B"/>
    <w:rsid w:val="00387E2F"/>
    <w:rsid w:val="0039047D"/>
    <w:rsid w:val="003906F5"/>
    <w:rsid w:val="00390DEE"/>
    <w:rsid w:val="003923F5"/>
    <w:rsid w:val="003941AB"/>
    <w:rsid w:val="003945AC"/>
    <w:rsid w:val="00395E0E"/>
    <w:rsid w:val="00397566"/>
    <w:rsid w:val="00397DFF"/>
    <w:rsid w:val="003A08B7"/>
    <w:rsid w:val="003A0FCD"/>
    <w:rsid w:val="003A1416"/>
    <w:rsid w:val="003A1511"/>
    <w:rsid w:val="003A1987"/>
    <w:rsid w:val="003A1D2C"/>
    <w:rsid w:val="003A285F"/>
    <w:rsid w:val="003A43FC"/>
    <w:rsid w:val="003A599B"/>
    <w:rsid w:val="003A5DC5"/>
    <w:rsid w:val="003B0B09"/>
    <w:rsid w:val="003B0CC8"/>
    <w:rsid w:val="003B163D"/>
    <w:rsid w:val="003B1781"/>
    <w:rsid w:val="003B17D1"/>
    <w:rsid w:val="003B1EA7"/>
    <w:rsid w:val="003B23CA"/>
    <w:rsid w:val="003B5407"/>
    <w:rsid w:val="003B5983"/>
    <w:rsid w:val="003B609A"/>
    <w:rsid w:val="003B61B5"/>
    <w:rsid w:val="003B6574"/>
    <w:rsid w:val="003B665B"/>
    <w:rsid w:val="003B6BF1"/>
    <w:rsid w:val="003B6FD2"/>
    <w:rsid w:val="003B707A"/>
    <w:rsid w:val="003B7757"/>
    <w:rsid w:val="003C19A7"/>
    <w:rsid w:val="003C241B"/>
    <w:rsid w:val="003C3180"/>
    <w:rsid w:val="003C3CCF"/>
    <w:rsid w:val="003C4304"/>
    <w:rsid w:val="003C4B8A"/>
    <w:rsid w:val="003C4EBE"/>
    <w:rsid w:val="003C61CC"/>
    <w:rsid w:val="003C653B"/>
    <w:rsid w:val="003C6B6A"/>
    <w:rsid w:val="003C7804"/>
    <w:rsid w:val="003D12C5"/>
    <w:rsid w:val="003D1E43"/>
    <w:rsid w:val="003D1F6A"/>
    <w:rsid w:val="003D20AF"/>
    <w:rsid w:val="003D2C78"/>
    <w:rsid w:val="003D338E"/>
    <w:rsid w:val="003D3AA9"/>
    <w:rsid w:val="003D4CB0"/>
    <w:rsid w:val="003D4F6E"/>
    <w:rsid w:val="003D6016"/>
    <w:rsid w:val="003D664E"/>
    <w:rsid w:val="003D6DBC"/>
    <w:rsid w:val="003E090C"/>
    <w:rsid w:val="003E3145"/>
    <w:rsid w:val="003E3793"/>
    <w:rsid w:val="003E3FE1"/>
    <w:rsid w:val="003E4FD1"/>
    <w:rsid w:val="003E51E5"/>
    <w:rsid w:val="003E5A1B"/>
    <w:rsid w:val="003E601C"/>
    <w:rsid w:val="003E6289"/>
    <w:rsid w:val="003E74A3"/>
    <w:rsid w:val="003E7752"/>
    <w:rsid w:val="003F0216"/>
    <w:rsid w:val="003F0A04"/>
    <w:rsid w:val="003F0EB2"/>
    <w:rsid w:val="003F1036"/>
    <w:rsid w:val="003F1085"/>
    <w:rsid w:val="003F30B2"/>
    <w:rsid w:val="003F338F"/>
    <w:rsid w:val="003F4178"/>
    <w:rsid w:val="003F6488"/>
    <w:rsid w:val="003F6766"/>
    <w:rsid w:val="003F7406"/>
    <w:rsid w:val="003F7715"/>
    <w:rsid w:val="003F7C96"/>
    <w:rsid w:val="00401F02"/>
    <w:rsid w:val="00402710"/>
    <w:rsid w:val="00402836"/>
    <w:rsid w:val="004028A8"/>
    <w:rsid w:val="00402F80"/>
    <w:rsid w:val="00403173"/>
    <w:rsid w:val="004032CA"/>
    <w:rsid w:val="00403424"/>
    <w:rsid w:val="0040402B"/>
    <w:rsid w:val="00404EE7"/>
    <w:rsid w:val="004053B8"/>
    <w:rsid w:val="0040624E"/>
    <w:rsid w:val="00406D61"/>
    <w:rsid w:val="00406FD2"/>
    <w:rsid w:val="00407397"/>
    <w:rsid w:val="00411098"/>
    <w:rsid w:val="00411344"/>
    <w:rsid w:val="00411BF7"/>
    <w:rsid w:val="00411F9E"/>
    <w:rsid w:val="00413865"/>
    <w:rsid w:val="00413981"/>
    <w:rsid w:val="00413CCC"/>
    <w:rsid w:val="0041487D"/>
    <w:rsid w:val="00414D29"/>
    <w:rsid w:val="0041533F"/>
    <w:rsid w:val="0041605C"/>
    <w:rsid w:val="00416574"/>
    <w:rsid w:val="004168AE"/>
    <w:rsid w:val="00416969"/>
    <w:rsid w:val="00420AE2"/>
    <w:rsid w:val="004222D1"/>
    <w:rsid w:val="00422FDB"/>
    <w:rsid w:val="00423453"/>
    <w:rsid w:val="00423B4A"/>
    <w:rsid w:val="00424189"/>
    <w:rsid w:val="00425060"/>
    <w:rsid w:val="004262AD"/>
    <w:rsid w:val="00427BA6"/>
    <w:rsid w:val="00430C76"/>
    <w:rsid w:val="004315E3"/>
    <w:rsid w:val="00431AC1"/>
    <w:rsid w:val="00431AE0"/>
    <w:rsid w:val="0043245C"/>
    <w:rsid w:val="00433402"/>
    <w:rsid w:val="0043374C"/>
    <w:rsid w:val="00434179"/>
    <w:rsid w:val="00435157"/>
    <w:rsid w:val="00435295"/>
    <w:rsid w:val="00436890"/>
    <w:rsid w:val="00436DFC"/>
    <w:rsid w:val="00436E09"/>
    <w:rsid w:val="00436E92"/>
    <w:rsid w:val="00440AD3"/>
    <w:rsid w:val="004417F2"/>
    <w:rsid w:val="00442813"/>
    <w:rsid w:val="00444E29"/>
    <w:rsid w:val="004464D0"/>
    <w:rsid w:val="0045050D"/>
    <w:rsid w:val="004508A7"/>
    <w:rsid w:val="004515DA"/>
    <w:rsid w:val="00451AC6"/>
    <w:rsid w:val="004524DE"/>
    <w:rsid w:val="00453A8C"/>
    <w:rsid w:val="00453B24"/>
    <w:rsid w:val="00457226"/>
    <w:rsid w:val="00457847"/>
    <w:rsid w:val="004616EE"/>
    <w:rsid w:val="004625F7"/>
    <w:rsid w:val="00462604"/>
    <w:rsid w:val="004628A9"/>
    <w:rsid w:val="0046295D"/>
    <w:rsid w:val="00462DB2"/>
    <w:rsid w:val="00463263"/>
    <w:rsid w:val="00464E3A"/>
    <w:rsid w:val="00466D2D"/>
    <w:rsid w:val="004675F8"/>
    <w:rsid w:val="00467BC7"/>
    <w:rsid w:val="00470EA5"/>
    <w:rsid w:val="0047153F"/>
    <w:rsid w:val="004723AC"/>
    <w:rsid w:val="004726DF"/>
    <w:rsid w:val="00472AF3"/>
    <w:rsid w:val="00472E86"/>
    <w:rsid w:val="00473994"/>
    <w:rsid w:val="004740B1"/>
    <w:rsid w:val="00474112"/>
    <w:rsid w:val="00474CD7"/>
    <w:rsid w:val="0047573C"/>
    <w:rsid w:val="0048127E"/>
    <w:rsid w:val="004818DA"/>
    <w:rsid w:val="00481E08"/>
    <w:rsid w:val="0048339B"/>
    <w:rsid w:val="00483DBF"/>
    <w:rsid w:val="0048400B"/>
    <w:rsid w:val="00484098"/>
    <w:rsid w:val="00484194"/>
    <w:rsid w:val="00484D15"/>
    <w:rsid w:val="00485B44"/>
    <w:rsid w:val="00485BA0"/>
    <w:rsid w:val="00485F91"/>
    <w:rsid w:val="0048670A"/>
    <w:rsid w:val="00487BE5"/>
    <w:rsid w:val="00490FF1"/>
    <w:rsid w:val="00491215"/>
    <w:rsid w:val="00492066"/>
    <w:rsid w:val="0049270D"/>
    <w:rsid w:val="004932C6"/>
    <w:rsid w:val="004933E8"/>
    <w:rsid w:val="00495BD8"/>
    <w:rsid w:val="00495F7B"/>
    <w:rsid w:val="004A0916"/>
    <w:rsid w:val="004A0972"/>
    <w:rsid w:val="004A0BF9"/>
    <w:rsid w:val="004A10A3"/>
    <w:rsid w:val="004A2526"/>
    <w:rsid w:val="004A26A5"/>
    <w:rsid w:val="004A2984"/>
    <w:rsid w:val="004A2A43"/>
    <w:rsid w:val="004A3591"/>
    <w:rsid w:val="004A40FD"/>
    <w:rsid w:val="004A479C"/>
    <w:rsid w:val="004A4F67"/>
    <w:rsid w:val="004A5275"/>
    <w:rsid w:val="004A6106"/>
    <w:rsid w:val="004A709D"/>
    <w:rsid w:val="004A73DE"/>
    <w:rsid w:val="004A796A"/>
    <w:rsid w:val="004B0758"/>
    <w:rsid w:val="004B2AEA"/>
    <w:rsid w:val="004B3797"/>
    <w:rsid w:val="004B3921"/>
    <w:rsid w:val="004B4684"/>
    <w:rsid w:val="004B517C"/>
    <w:rsid w:val="004B5937"/>
    <w:rsid w:val="004B5FBD"/>
    <w:rsid w:val="004B660B"/>
    <w:rsid w:val="004B6808"/>
    <w:rsid w:val="004B6C32"/>
    <w:rsid w:val="004B6CA9"/>
    <w:rsid w:val="004B73C8"/>
    <w:rsid w:val="004B7547"/>
    <w:rsid w:val="004B7A72"/>
    <w:rsid w:val="004C113B"/>
    <w:rsid w:val="004C2F64"/>
    <w:rsid w:val="004C3D64"/>
    <w:rsid w:val="004C48E6"/>
    <w:rsid w:val="004C48FE"/>
    <w:rsid w:val="004C4973"/>
    <w:rsid w:val="004C6644"/>
    <w:rsid w:val="004C6701"/>
    <w:rsid w:val="004C7868"/>
    <w:rsid w:val="004D015A"/>
    <w:rsid w:val="004D0588"/>
    <w:rsid w:val="004D0E7B"/>
    <w:rsid w:val="004D132F"/>
    <w:rsid w:val="004D1A26"/>
    <w:rsid w:val="004D1B7E"/>
    <w:rsid w:val="004D1CCE"/>
    <w:rsid w:val="004D1D6F"/>
    <w:rsid w:val="004D2A94"/>
    <w:rsid w:val="004D2D1F"/>
    <w:rsid w:val="004D2EC3"/>
    <w:rsid w:val="004D308B"/>
    <w:rsid w:val="004D34D8"/>
    <w:rsid w:val="004D430E"/>
    <w:rsid w:val="004D4CBD"/>
    <w:rsid w:val="004D5447"/>
    <w:rsid w:val="004D58FF"/>
    <w:rsid w:val="004D5D36"/>
    <w:rsid w:val="004D61B9"/>
    <w:rsid w:val="004D6ED9"/>
    <w:rsid w:val="004D7346"/>
    <w:rsid w:val="004D7D72"/>
    <w:rsid w:val="004D7DD5"/>
    <w:rsid w:val="004D7E33"/>
    <w:rsid w:val="004E0276"/>
    <w:rsid w:val="004E0CEA"/>
    <w:rsid w:val="004E23A9"/>
    <w:rsid w:val="004E24E9"/>
    <w:rsid w:val="004E2C9E"/>
    <w:rsid w:val="004E384D"/>
    <w:rsid w:val="004E39B4"/>
    <w:rsid w:val="004E5830"/>
    <w:rsid w:val="004E5DB4"/>
    <w:rsid w:val="004E61B1"/>
    <w:rsid w:val="004E671C"/>
    <w:rsid w:val="004E6B59"/>
    <w:rsid w:val="004E7577"/>
    <w:rsid w:val="004E76FA"/>
    <w:rsid w:val="004E78E7"/>
    <w:rsid w:val="004F1D0E"/>
    <w:rsid w:val="004F265C"/>
    <w:rsid w:val="004F29A1"/>
    <w:rsid w:val="004F47E4"/>
    <w:rsid w:val="004F4ABB"/>
    <w:rsid w:val="004F5065"/>
    <w:rsid w:val="004F54DE"/>
    <w:rsid w:val="004F5B2D"/>
    <w:rsid w:val="004F70BA"/>
    <w:rsid w:val="0050039F"/>
    <w:rsid w:val="0050056D"/>
    <w:rsid w:val="005010C7"/>
    <w:rsid w:val="00503364"/>
    <w:rsid w:val="0050340E"/>
    <w:rsid w:val="00503938"/>
    <w:rsid w:val="00504200"/>
    <w:rsid w:val="0050492D"/>
    <w:rsid w:val="0050537D"/>
    <w:rsid w:val="005059B6"/>
    <w:rsid w:val="00506A09"/>
    <w:rsid w:val="005123FE"/>
    <w:rsid w:val="00512B33"/>
    <w:rsid w:val="00512BF0"/>
    <w:rsid w:val="005133F2"/>
    <w:rsid w:val="00513456"/>
    <w:rsid w:val="005138E0"/>
    <w:rsid w:val="00514505"/>
    <w:rsid w:val="0051475E"/>
    <w:rsid w:val="005160D7"/>
    <w:rsid w:val="005163C6"/>
    <w:rsid w:val="00516855"/>
    <w:rsid w:val="00516BB7"/>
    <w:rsid w:val="00517047"/>
    <w:rsid w:val="00517471"/>
    <w:rsid w:val="00522261"/>
    <w:rsid w:val="00522A52"/>
    <w:rsid w:val="00523831"/>
    <w:rsid w:val="00523A70"/>
    <w:rsid w:val="00524E02"/>
    <w:rsid w:val="00525B4E"/>
    <w:rsid w:val="005260C2"/>
    <w:rsid w:val="00526714"/>
    <w:rsid w:val="00526B03"/>
    <w:rsid w:val="00527AF1"/>
    <w:rsid w:val="00530233"/>
    <w:rsid w:val="005303F7"/>
    <w:rsid w:val="00530491"/>
    <w:rsid w:val="00530705"/>
    <w:rsid w:val="00531909"/>
    <w:rsid w:val="00532085"/>
    <w:rsid w:val="00532232"/>
    <w:rsid w:val="005332A4"/>
    <w:rsid w:val="00534598"/>
    <w:rsid w:val="00534676"/>
    <w:rsid w:val="0053477D"/>
    <w:rsid w:val="00536458"/>
    <w:rsid w:val="00536B66"/>
    <w:rsid w:val="00537289"/>
    <w:rsid w:val="00537FB5"/>
    <w:rsid w:val="0054003F"/>
    <w:rsid w:val="00540BEF"/>
    <w:rsid w:val="00541C73"/>
    <w:rsid w:val="00541EE6"/>
    <w:rsid w:val="00542138"/>
    <w:rsid w:val="005428A0"/>
    <w:rsid w:val="0054424C"/>
    <w:rsid w:val="0054529E"/>
    <w:rsid w:val="0054677D"/>
    <w:rsid w:val="00546C3A"/>
    <w:rsid w:val="00547303"/>
    <w:rsid w:val="00547ADA"/>
    <w:rsid w:val="005501B0"/>
    <w:rsid w:val="005513CE"/>
    <w:rsid w:val="0055216B"/>
    <w:rsid w:val="00552D20"/>
    <w:rsid w:val="0055354B"/>
    <w:rsid w:val="00553A6C"/>
    <w:rsid w:val="005540FD"/>
    <w:rsid w:val="0055437D"/>
    <w:rsid w:val="00555607"/>
    <w:rsid w:val="00555F8C"/>
    <w:rsid w:val="00556B5E"/>
    <w:rsid w:val="00556EAE"/>
    <w:rsid w:val="00556FC1"/>
    <w:rsid w:val="00557990"/>
    <w:rsid w:val="0056006A"/>
    <w:rsid w:val="005604C9"/>
    <w:rsid w:val="00560821"/>
    <w:rsid w:val="00561EE0"/>
    <w:rsid w:val="005640E3"/>
    <w:rsid w:val="005654F5"/>
    <w:rsid w:val="005677EA"/>
    <w:rsid w:val="00567F7F"/>
    <w:rsid w:val="005702ED"/>
    <w:rsid w:val="005704FD"/>
    <w:rsid w:val="005706B5"/>
    <w:rsid w:val="00570C21"/>
    <w:rsid w:val="00570EE1"/>
    <w:rsid w:val="00571393"/>
    <w:rsid w:val="005720E0"/>
    <w:rsid w:val="005725A9"/>
    <w:rsid w:val="00573F0B"/>
    <w:rsid w:val="00574533"/>
    <w:rsid w:val="00574CBF"/>
    <w:rsid w:val="00575118"/>
    <w:rsid w:val="00575B8C"/>
    <w:rsid w:val="00575F69"/>
    <w:rsid w:val="00576769"/>
    <w:rsid w:val="0057791B"/>
    <w:rsid w:val="00577D02"/>
    <w:rsid w:val="0058129E"/>
    <w:rsid w:val="00582155"/>
    <w:rsid w:val="005827CA"/>
    <w:rsid w:val="00582DAA"/>
    <w:rsid w:val="005831E2"/>
    <w:rsid w:val="00583B15"/>
    <w:rsid w:val="00584A3A"/>
    <w:rsid w:val="00584B44"/>
    <w:rsid w:val="00585567"/>
    <w:rsid w:val="00585EA1"/>
    <w:rsid w:val="00586894"/>
    <w:rsid w:val="00587A40"/>
    <w:rsid w:val="005914F5"/>
    <w:rsid w:val="00591A28"/>
    <w:rsid w:val="00592664"/>
    <w:rsid w:val="005933EF"/>
    <w:rsid w:val="0059388C"/>
    <w:rsid w:val="00593B86"/>
    <w:rsid w:val="00593D0F"/>
    <w:rsid w:val="0059412B"/>
    <w:rsid w:val="005945E7"/>
    <w:rsid w:val="00594D6B"/>
    <w:rsid w:val="00594EFD"/>
    <w:rsid w:val="005953F6"/>
    <w:rsid w:val="005954D8"/>
    <w:rsid w:val="00595FD9"/>
    <w:rsid w:val="0059670C"/>
    <w:rsid w:val="00597205"/>
    <w:rsid w:val="005A062B"/>
    <w:rsid w:val="005A0B9A"/>
    <w:rsid w:val="005A2765"/>
    <w:rsid w:val="005A37BE"/>
    <w:rsid w:val="005A3F19"/>
    <w:rsid w:val="005A483D"/>
    <w:rsid w:val="005A4DF5"/>
    <w:rsid w:val="005A656E"/>
    <w:rsid w:val="005A6A6B"/>
    <w:rsid w:val="005A6B96"/>
    <w:rsid w:val="005B11BE"/>
    <w:rsid w:val="005B131C"/>
    <w:rsid w:val="005B1322"/>
    <w:rsid w:val="005B2C4B"/>
    <w:rsid w:val="005B3562"/>
    <w:rsid w:val="005B3E8C"/>
    <w:rsid w:val="005B4892"/>
    <w:rsid w:val="005B5382"/>
    <w:rsid w:val="005B5A31"/>
    <w:rsid w:val="005B5EEF"/>
    <w:rsid w:val="005B602C"/>
    <w:rsid w:val="005B6704"/>
    <w:rsid w:val="005B723B"/>
    <w:rsid w:val="005B78A5"/>
    <w:rsid w:val="005B7E3D"/>
    <w:rsid w:val="005C09ED"/>
    <w:rsid w:val="005C16C5"/>
    <w:rsid w:val="005C16CB"/>
    <w:rsid w:val="005C1E64"/>
    <w:rsid w:val="005C2B1C"/>
    <w:rsid w:val="005C38CA"/>
    <w:rsid w:val="005C40A4"/>
    <w:rsid w:val="005C4231"/>
    <w:rsid w:val="005C4419"/>
    <w:rsid w:val="005C4765"/>
    <w:rsid w:val="005C4E60"/>
    <w:rsid w:val="005C5209"/>
    <w:rsid w:val="005C67EF"/>
    <w:rsid w:val="005C6D62"/>
    <w:rsid w:val="005C77AC"/>
    <w:rsid w:val="005C7973"/>
    <w:rsid w:val="005C7BC1"/>
    <w:rsid w:val="005C7E43"/>
    <w:rsid w:val="005D01BC"/>
    <w:rsid w:val="005D086D"/>
    <w:rsid w:val="005D1930"/>
    <w:rsid w:val="005D1A2A"/>
    <w:rsid w:val="005D2066"/>
    <w:rsid w:val="005D2341"/>
    <w:rsid w:val="005D2CAE"/>
    <w:rsid w:val="005D4026"/>
    <w:rsid w:val="005D4AC5"/>
    <w:rsid w:val="005D4D1E"/>
    <w:rsid w:val="005D5350"/>
    <w:rsid w:val="005D68BC"/>
    <w:rsid w:val="005D69CA"/>
    <w:rsid w:val="005D6D2E"/>
    <w:rsid w:val="005D6D56"/>
    <w:rsid w:val="005D6F24"/>
    <w:rsid w:val="005E059F"/>
    <w:rsid w:val="005E0B4C"/>
    <w:rsid w:val="005E0B64"/>
    <w:rsid w:val="005E1800"/>
    <w:rsid w:val="005E1A3E"/>
    <w:rsid w:val="005E3F0A"/>
    <w:rsid w:val="005E4426"/>
    <w:rsid w:val="005E4694"/>
    <w:rsid w:val="005E54C8"/>
    <w:rsid w:val="005E5591"/>
    <w:rsid w:val="005E571F"/>
    <w:rsid w:val="005E6156"/>
    <w:rsid w:val="005E67EA"/>
    <w:rsid w:val="005F1A13"/>
    <w:rsid w:val="005F1C15"/>
    <w:rsid w:val="005F2392"/>
    <w:rsid w:val="005F2C49"/>
    <w:rsid w:val="005F2D6B"/>
    <w:rsid w:val="005F37AF"/>
    <w:rsid w:val="005F4A54"/>
    <w:rsid w:val="005F54BA"/>
    <w:rsid w:val="005F59E5"/>
    <w:rsid w:val="005F60C6"/>
    <w:rsid w:val="005F6460"/>
    <w:rsid w:val="005F6DDA"/>
    <w:rsid w:val="005F734E"/>
    <w:rsid w:val="006000D4"/>
    <w:rsid w:val="0060055D"/>
    <w:rsid w:val="006006E8"/>
    <w:rsid w:val="00600E1B"/>
    <w:rsid w:val="0060162F"/>
    <w:rsid w:val="00601983"/>
    <w:rsid w:val="00601A84"/>
    <w:rsid w:val="00601B7E"/>
    <w:rsid w:val="00601C96"/>
    <w:rsid w:val="00601CDE"/>
    <w:rsid w:val="006025CE"/>
    <w:rsid w:val="006028AB"/>
    <w:rsid w:val="00602C65"/>
    <w:rsid w:val="0060406B"/>
    <w:rsid w:val="0060442B"/>
    <w:rsid w:val="00604A4F"/>
    <w:rsid w:val="0060732C"/>
    <w:rsid w:val="00610FF9"/>
    <w:rsid w:val="006121CD"/>
    <w:rsid w:val="00612E1C"/>
    <w:rsid w:val="0061338B"/>
    <w:rsid w:val="00613555"/>
    <w:rsid w:val="0061391B"/>
    <w:rsid w:val="00613D7A"/>
    <w:rsid w:val="00614AEF"/>
    <w:rsid w:val="00616390"/>
    <w:rsid w:val="006163BF"/>
    <w:rsid w:val="006165CA"/>
    <w:rsid w:val="00616FB8"/>
    <w:rsid w:val="00617D34"/>
    <w:rsid w:val="00620456"/>
    <w:rsid w:val="0062078F"/>
    <w:rsid w:val="00620BFA"/>
    <w:rsid w:val="00621EC5"/>
    <w:rsid w:val="006224FC"/>
    <w:rsid w:val="00623A99"/>
    <w:rsid w:val="006249ED"/>
    <w:rsid w:val="0062533D"/>
    <w:rsid w:val="0062583E"/>
    <w:rsid w:val="006264BB"/>
    <w:rsid w:val="00626BDB"/>
    <w:rsid w:val="00627715"/>
    <w:rsid w:val="006332E1"/>
    <w:rsid w:val="00633359"/>
    <w:rsid w:val="00634157"/>
    <w:rsid w:val="00634291"/>
    <w:rsid w:val="00634696"/>
    <w:rsid w:val="00634E2F"/>
    <w:rsid w:val="00634ED8"/>
    <w:rsid w:val="006358AA"/>
    <w:rsid w:val="00635FDF"/>
    <w:rsid w:val="006369D5"/>
    <w:rsid w:val="00636D3F"/>
    <w:rsid w:val="00637F65"/>
    <w:rsid w:val="00640066"/>
    <w:rsid w:val="006409A7"/>
    <w:rsid w:val="00640C05"/>
    <w:rsid w:val="00642660"/>
    <w:rsid w:val="006426B6"/>
    <w:rsid w:val="00643F9C"/>
    <w:rsid w:val="00646FAA"/>
    <w:rsid w:val="00647F88"/>
    <w:rsid w:val="00651317"/>
    <w:rsid w:val="0065207D"/>
    <w:rsid w:val="0065297C"/>
    <w:rsid w:val="00653210"/>
    <w:rsid w:val="00653861"/>
    <w:rsid w:val="0065447A"/>
    <w:rsid w:val="00654648"/>
    <w:rsid w:val="00654B10"/>
    <w:rsid w:val="00654E12"/>
    <w:rsid w:val="006558B0"/>
    <w:rsid w:val="0065697C"/>
    <w:rsid w:val="00656F6A"/>
    <w:rsid w:val="00657CCC"/>
    <w:rsid w:val="00657E9C"/>
    <w:rsid w:val="00660407"/>
    <w:rsid w:val="00660474"/>
    <w:rsid w:val="00660FB7"/>
    <w:rsid w:val="006610D7"/>
    <w:rsid w:val="006613FC"/>
    <w:rsid w:val="00661CE3"/>
    <w:rsid w:val="006620D4"/>
    <w:rsid w:val="00662569"/>
    <w:rsid w:val="00662D02"/>
    <w:rsid w:val="00662E39"/>
    <w:rsid w:val="006631C4"/>
    <w:rsid w:val="00664A97"/>
    <w:rsid w:val="006650AA"/>
    <w:rsid w:val="00666681"/>
    <w:rsid w:val="00666EE0"/>
    <w:rsid w:val="006674BD"/>
    <w:rsid w:val="006678AE"/>
    <w:rsid w:val="00667D06"/>
    <w:rsid w:val="006700BE"/>
    <w:rsid w:val="00671B72"/>
    <w:rsid w:val="00671E14"/>
    <w:rsid w:val="00672200"/>
    <w:rsid w:val="0067282D"/>
    <w:rsid w:val="00672D2B"/>
    <w:rsid w:val="006731E3"/>
    <w:rsid w:val="00673E7B"/>
    <w:rsid w:val="0067415D"/>
    <w:rsid w:val="00674C44"/>
    <w:rsid w:val="00674FA9"/>
    <w:rsid w:val="006759BC"/>
    <w:rsid w:val="0067625C"/>
    <w:rsid w:val="0067674A"/>
    <w:rsid w:val="00676793"/>
    <w:rsid w:val="00677DD2"/>
    <w:rsid w:val="006801A0"/>
    <w:rsid w:val="00680548"/>
    <w:rsid w:val="00680AB5"/>
    <w:rsid w:val="00680EBC"/>
    <w:rsid w:val="0068125D"/>
    <w:rsid w:val="00681316"/>
    <w:rsid w:val="00681C87"/>
    <w:rsid w:val="00683F55"/>
    <w:rsid w:val="00684D8A"/>
    <w:rsid w:val="006859E1"/>
    <w:rsid w:val="006863D6"/>
    <w:rsid w:val="00686436"/>
    <w:rsid w:val="006868E4"/>
    <w:rsid w:val="00686CE9"/>
    <w:rsid w:val="00686DB6"/>
    <w:rsid w:val="00687ABB"/>
    <w:rsid w:val="006904A3"/>
    <w:rsid w:val="006904BE"/>
    <w:rsid w:val="006908B9"/>
    <w:rsid w:val="0069181A"/>
    <w:rsid w:val="00692D18"/>
    <w:rsid w:val="00693049"/>
    <w:rsid w:val="006931DF"/>
    <w:rsid w:val="0069342B"/>
    <w:rsid w:val="0069430D"/>
    <w:rsid w:val="00694BFF"/>
    <w:rsid w:val="00695584"/>
    <w:rsid w:val="00695627"/>
    <w:rsid w:val="00695CD3"/>
    <w:rsid w:val="0069646E"/>
    <w:rsid w:val="00696C67"/>
    <w:rsid w:val="0069771E"/>
    <w:rsid w:val="006A09D5"/>
    <w:rsid w:val="006A14BB"/>
    <w:rsid w:val="006A1C33"/>
    <w:rsid w:val="006A205F"/>
    <w:rsid w:val="006A20AE"/>
    <w:rsid w:val="006A2836"/>
    <w:rsid w:val="006A285A"/>
    <w:rsid w:val="006A2BB3"/>
    <w:rsid w:val="006A2CD9"/>
    <w:rsid w:val="006A2EE1"/>
    <w:rsid w:val="006A3018"/>
    <w:rsid w:val="006A42FB"/>
    <w:rsid w:val="006A4D84"/>
    <w:rsid w:val="006A4ED5"/>
    <w:rsid w:val="006A4FBC"/>
    <w:rsid w:val="006A54B7"/>
    <w:rsid w:val="006A6505"/>
    <w:rsid w:val="006A6FF4"/>
    <w:rsid w:val="006A7099"/>
    <w:rsid w:val="006A70BB"/>
    <w:rsid w:val="006A74B2"/>
    <w:rsid w:val="006A7B17"/>
    <w:rsid w:val="006A7BE4"/>
    <w:rsid w:val="006A7D23"/>
    <w:rsid w:val="006B033B"/>
    <w:rsid w:val="006B0A61"/>
    <w:rsid w:val="006B2380"/>
    <w:rsid w:val="006B2996"/>
    <w:rsid w:val="006B2B4E"/>
    <w:rsid w:val="006B2F7E"/>
    <w:rsid w:val="006B31C5"/>
    <w:rsid w:val="006B3409"/>
    <w:rsid w:val="006B4FB6"/>
    <w:rsid w:val="006B59C1"/>
    <w:rsid w:val="006B5A24"/>
    <w:rsid w:val="006B5F37"/>
    <w:rsid w:val="006B6432"/>
    <w:rsid w:val="006B6BB5"/>
    <w:rsid w:val="006B70EC"/>
    <w:rsid w:val="006B7BBF"/>
    <w:rsid w:val="006C00C3"/>
    <w:rsid w:val="006C04D4"/>
    <w:rsid w:val="006C06CE"/>
    <w:rsid w:val="006C2409"/>
    <w:rsid w:val="006C2417"/>
    <w:rsid w:val="006C31BF"/>
    <w:rsid w:val="006C4AAD"/>
    <w:rsid w:val="006C4C73"/>
    <w:rsid w:val="006C4C75"/>
    <w:rsid w:val="006C4CBF"/>
    <w:rsid w:val="006C57EC"/>
    <w:rsid w:val="006C78E5"/>
    <w:rsid w:val="006D0AB9"/>
    <w:rsid w:val="006D36A5"/>
    <w:rsid w:val="006D44EC"/>
    <w:rsid w:val="006D47DF"/>
    <w:rsid w:val="006D4B76"/>
    <w:rsid w:val="006D4E15"/>
    <w:rsid w:val="006D4F2D"/>
    <w:rsid w:val="006D6B5B"/>
    <w:rsid w:val="006E04EE"/>
    <w:rsid w:val="006E0643"/>
    <w:rsid w:val="006E0985"/>
    <w:rsid w:val="006E0ACB"/>
    <w:rsid w:val="006E21D9"/>
    <w:rsid w:val="006E247C"/>
    <w:rsid w:val="006E29E3"/>
    <w:rsid w:val="006E2A1C"/>
    <w:rsid w:val="006E2F96"/>
    <w:rsid w:val="006E338B"/>
    <w:rsid w:val="006E3578"/>
    <w:rsid w:val="006E3B10"/>
    <w:rsid w:val="006E3DEA"/>
    <w:rsid w:val="006E5F3A"/>
    <w:rsid w:val="006E62C5"/>
    <w:rsid w:val="006E687C"/>
    <w:rsid w:val="006E7239"/>
    <w:rsid w:val="006E7C6F"/>
    <w:rsid w:val="006F0010"/>
    <w:rsid w:val="006F1065"/>
    <w:rsid w:val="006F123E"/>
    <w:rsid w:val="006F3304"/>
    <w:rsid w:val="006F391B"/>
    <w:rsid w:val="006F3B78"/>
    <w:rsid w:val="006F4ECB"/>
    <w:rsid w:val="006F63C9"/>
    <w:rsid w:val="006F69C4"/>
    <w:rsid w:val="006F6A27"/>
    <w:rsid w:val="006F6E25"/>
    <w:rsid w:val="006F777D"/>
    <w:rsid w:val="0070005F"/>
    <w:rsid w:val="0070010E"/>
    <w:rsid w:val="0070011C"/>
    <w:rsid w:val="007003C4"/>
    <w:rsid w:val="00700ED3"/>
    <w:rsid w:val="00701207"/>
    <w:rsid w:val="007014CE"/>
    <w:rsid w:val="007015E1"/>
    <w:rsid w:val="00701702"/>
    <w:rsid w:val="00701B92"/>
    <w:rsid w:val="00701D8F"/>
    <w:rsid w:val="00701F6E"/>
    <w:rsid w:val="00703E5A"/>
    <w:rsid w:val="00704972"/>
    <w:rsid w:val="00704FE0"/>
    <w:rsid w:val="0070549C"/>
    <w:rsid w:val="00707271"/>
    <w:rsid w:val="00707850"/>
    <w:rsid w:val="00710BB9"/>
    <w:rsid w:val="00710C52"/>
    <w:rsid w:val="00711B30"/>
    <w:rsid w:val="00711F9A"/>
    <w:rsid w:val="00712463"/>
    <w:rsid w:val="00712D41"/>
    <w:rsid w:val="00714761"/>
    <w:rsid w:val="00714A93"/>
    <w:rsid w:val="00715C8A"/>
    <w:rsid w:val="0071624A"/>
    <w:rsid w:val="007163EC"/>
    <w:rsid w:val="00716E04"/>
    <w:rsid w:val="00716EDE"/>
    <w:rsid w:val="00717038"/>
    <w:rsid w:val="0072013D"/>
    <w:rsid w:val="00721B7C"/>
    <w:rsid w:val="00721BC6"/>
    <w:rsid w:val="00722289"/>
    <w:rsid w:val="00723CEB"/>
    <w:rsid w:val="00724956"/>
    <w:rsid w:val="00724C37"/>
    <w:rsid w:val="00725AF9"/>
    <w:rsid w:val="00730135"/>
    <w:rsid w:val="00730B42"/>
    <w:rsid w:val="00730CA3"/>
    <w:rsid w:val="0073196B"/>
    <w:rsid w:val="00732289"/>
    <w:rsid w:val="0073255F"/>
    <w:rsid w:val="0073364C"/>
    <w:rsid w:val="007347D0"/>
    <w:rsid w:val="00735059"/>
    <w:rsid w:val="00737AD1"/>
    <w:rsid w:val="007402FA"/>
    <w:rsid w:val="00741FB7"/>
    <w:rsid w:val="00742925"/>
    <w:rsid w:val="00742D54"/>
    <w:rsid w:val="007432A9"/>
    <w:rsid w:val="007434C2"/>
    <w:rsid w:val="0074368F"/>
    <w:rsid w:val="00744352"/>
    <w:rsid w:val="00744CA0"/>
    <w:rsid w:val="007451CF"/>
    <w:rsid w:val="0074525F"/>
    <w:rsid w:val="007459B4"/>
    <w:rsid w:val="007468C6"/>
    <w:rsid w:val="0074694E"/>
    <w:rsid w:val="007507E1"/>
    <w:rsid w:val="00750948"/>
    <w:rsid w:val="0075104D"/>
    <w:rsid w:val="00751594"/>
    <w:rsid w:val="00751A34"/>
    <w:rsid w:val="00751A88"/>
    <w:rsid w:val="00752066"/>
    <w:rsid w:val="007522CE"/>
    <w:rsid w:val="00752CC9"/>
    <w:rsid w:val="007533DF"/>
    <w:rsid w:val="0075368A"/>
    <w:rsid w:val="00754281"/>
    <w:rsid w:val="0075463E"/>
    <w:rsid w:val="0075499E"/>
    <w:rsid w:val="00754ED0"/>
    <w:rsid w:val="00756314"/>
    <w:rsid w:val="00757ADD"/>
    <w:rsid w:val="007600B1"/>
    <w:rsid w:val="00760C33"/>
    <w:rsid w:val="007614ED"/>
    <w:rsid w:val="00761AE4"/>
    <w:rsid w:val="00761C08"/>
    <w:rsid w:val="00762545"/>
    <w:rsid w:val="00762F98"/>
    <w:rsid w:val="0076310D"/>
    <w:rsid w:val="0076380E"/>
    <w:rsid w:val="007642CF"/>
    <w:rsid w:val="00764D1E"/>
    <w:rsid w:val="00765582"/>
    <w:rsid w:val="00766681"/>
    <w:rsid w:val="00766E7D"/>
    <w:rsid w:val="007671B5"/>
    <w:rsid w:val="00767707"/>
    <w:rsid w:val="00767ADF"/>
    <w:rsid w:val="00770951"/>
    <w:rsid w:val="007719AC"/>
    <w:rsid w:val="00771A97"/>
    <w:rsid w:val="00771AA3"/>
    <w:rsid w:val="0077208F"/>
    <w:rsid w:val="00772CC1"/>
    <w:rsid w:val="007730A9"/>
    <w:rsid w:val="0077351C"/>
    <w:rsid w:val="00773DC9"/>
    <w:rsid w:val="00774BCA"/>
    <w:rsid w:val="0077556C"/>
    <w:rsid w:val="007755B9"/>
    <w:rsid w:val="00776ACA"/>
    <w:rsid w:val="00777656"/>
    <w:rsid w:val="00780B3F"/>
    <w:rsid w:val="00780E90"/>
    <w:rsid w:val="007817C2"/>
    <w:rsid w:val="00781E8F"/>
    <w:rsid w:val="007825F2"/>
    <w:rsid w:val="00783FB6"/>
    <w:rsid w:val="00784324"/>
    <w:rsid w:val="00784DF3"/>
    <w:rsid w:val="007857B8"/>
    <w:rsid w:val="00786567"/>
    <w:rsid w:val="00791837"/>
    <w:rsid w:val="00792E15"/>
    <w:rsid w:val="00793455"/>
    <w:rsid w:val="00793F44"/>
    <w:rsid w:val="00794E81"/>
    <w:rsid w:val="007951D1"/>
    <w:rsid w:val="0079578B"/>
    <w:rsid w:val="0079616E"/>
    <w:rsid w:val="00796BF9"/>
    <w:rsid w:val="00796F05"/>
    <w:rsid w:val="00797253"/>
    <w:rsid w:val="00797600"/>
    <w:rsid w:val="007977E6"/>
    <w:rsid w:val="00797EBA"/>
    <w:rsid w:val="007A0ADE"/>
    <w:rsid w:val="007A0F11"/>
    <w:rsid w:val="007A15A1"/>
    <w:rsid w:val="007A34BE"/>
    <w:rsid w:val="007A506E"/>
    <w:rsid w:val="007A5630"/>
    <w:rsid w:val="007A66BF"/>
    <w:rsid w:val="007A6CE8"/>
    <w:rsid w:val="007A7303"/>
    <w:rsid w:val="007A7BBE"/>
    <w:rsid w:val="007B099F"/>
    <w:rsid w:val="007B2B37"/>
    <w:rsid w:val="007B2E7F"/>
    <w:rsid w:val="007B3494"/>
    <w:rsid w:val="007B3FC5"/>
    <w:rsid w:val="007B4CC2"/>
    <w:rsid w:val="007B5274"/>
    <w:rsid w:val="007B55AC"/>
    <w:rsid w:val="007B58FB"/>
    <w:rsid w:val="007B59FA"/>
    <w:rsid w:val="007B5E6B"/>
    <w:rsid w:val="007B5E7C"/>
    <w:rsid w:val="007B79D4"/>
    <w:rsid w:val="007B7F24"/>
    <w:rsid w:val="007C0E33"/>
    <w:rsid w:val="007C24EC"/>
    <w:rsid w:val="007C2C48"/>
    <w:rsid w:val="007C2F74"/>
    <w:rsid w:val="007C3286"/>
    <w:rsid w:val="007C33D6"/>
    <w:rsid w:val="007C395F"/>
    <w:rsid w:val="007C530F"/>
    <w:rsid w:val="007C5F5F"/>
    <w:rsid w:val="007C6235"/>
    <w:rsid w:val="007C783A"/>
    <w:rsid w:val="007C7FFE"/>
    <w:rsid w:val="007D0224"/>
    <w:rsid w:val="007D0B8E"/>
    <w:rsid w:val="007D193D"/>
    <w:rsid w:val="007D1F46"/>
    <w:rsid w:val="007D3D7E"/>
    <w:rsid w:val="007D454D"/>
    <w:rsid w:val="007D58E7"/>
    <w:rsid w:val="007D67DB"/>
    <w:rsid w:val="007D749F"/>
    <w:rsid w:val="007D74A0"/>
    <w:rsid w:val="007D76C2"/>
    <w:rsid w:val="007D771B"/>
    <w:rsid w:val="007E1499"/>
    <w:rsid w:val="007E1A4F"/>
    <w:rsid w:val="007E1B29"/>
    <w:rsid w:val="007E2774"/>
    <w:rsid w:val="007E3725"/>
    <w:rsid w:val="007E4890"/>
    <w:rsid w:val="007E4DBC"/>
    <w:rsid w:val="007E5C5A"/>
    <w:rsid w:val="007E6325"/>
    <w:rsid w:val="007E6611"/>
    <w:rsid w:val="007E6951"/>
    <w:rsid w:val="007E7372"/>
    <w:rsid w:val="007E7D5C"/>
    <w:rsid w:val="007F037B"/>
    <w:rsid w:val="007F044F"/>
    <w:rsid w:val="007F0F8A"/>
    <w:rsid w:val="007F135D"/>
    <w:rsid w:val="007F15CF"/>
    <w:rsid w:val="007F20F6"/>
    <w:rsid w:val="007F2232"/>
    <w:rsid w:val="007F2585"/>
    <w:rsid w:val="007F301E"/>
    <w:rsid w:val="007F3680"/>
    <w:rsid w:val="007F3DB6"/>
    <w:rsid w:val="007F40A1"/>
    <w:rsid w:val="007F4F37"/>
    <w:rsid w:val="007F5137"/>
    <w:rsid w:val="007F57FF"/>
    <w:rsid w:val="007F5F66"/>
    <w:rsid w:val="007F6AD1"/>
    <w:rsid w:val="007F72B0"/>
    <w:rsid w:val="007F732B"/>
    <w:rsid w:val="0080096D"/>
    <w:rsid w:val="00801CDF"/>
    <w:rsid w:val="008024FC"/>
    <w:rsid w:val="0080260A"/>
    <w:rsid w:val="0080286C"/>
    <w:rsid w:val="00803C80"/>
    <w:rsid w:val="008050EF"/>
    <w:rsid w:val="0080520F"/>
    <w:rsid w:val="00805420"/>
    <w:rsid w:val="008068C8"/>
    <w:rsid w:val="00806C0B"/>
    <w:rsid w:val="00806E0D"/>
    <w:rsid w:val="008070BB"/>
    <w:rsid w:val="00810918"/>
    <w:rsid w:val="00811246"/>
    <w:rsid w:val="00811445"/>
    <w:rsid w:val="00811EED"/>
    <w:rsid w:val="00813994"/>
    <w:rsid w:val="008139D4"/>
    <w:rsid w:val="00813F05"/>
    <w:rsid w:val="0081441F"/>
    <w:rsid w:val="00814424"/>
    <w:rsid w:val="0081511A"/>
    <w:rsid w:val="008155FD"/>
    <w:rsid w:val="00815C9E"/>
    <w:rsid w:val="008160E4"/>
    <w:rsid w:val="008201C0"/>
    <w:rsid w:val="00820E4A"/>
    <w:rsid w:val="00820FE9"/>
    <w:rsid w:val="00821940"/>
    <w:rsid w:val="008225CF"/>
    <w:rsid w:val="00822C06"/>
    <w:rsid w:val="0082642D"/>
    <w:rsid w:val="00826FD6"/>
    <w:rsid w:val="0082772C"/>
    <w:rsid w:val="00827F6A"/>
    <w:rsid w:val="00830968"/>
    <w:rsid w:val="00830A3F"/>
    <w:rsid w:val="0083184D"/>
    <w:rsid w:val="00833344"/>
    <w:rsid w:val="00833849"/>
    <w:rsid w:val="00833D65"/>
    <w:rsid w:val="008347E5"/>
    <w:rsid w:val="008358ED"/>
    <w:rsid w:val="00835DEB"/>
    <w:rsid w:val="0083671C"/>
    <w:rsid w:val="00837589"/>
    <w:rsid w:val="008378F0"/>
    <w:rsid w:val="008404B4"/>
    <w:rsid w:val="0084267C"/>
    <w:rsid w:val="00842A3A"/>
    <w:rsid w:val="0084374A"/>
    <w:rsid w:val="00843A98"/>
    <w:rsid w:val="0084456E"/>
    <w:rsid w:val="00844FA4"/>
    <w:rsid w:val="008452B1"/>
    <w:rsid w:val="00845815"/>
    <w:rsid w:val="008467B6"/>
    <w:rsid w:val="00846D07"/>
    <w:rsid w:val="00846DA7"/>
    <w:rsid w:val="00847138"/>
    <w:rsid w:val="00847A51"/>
    <w:rsid w:val="00847EB2"/>
    <w:rsid w:val="008508E0"/>
    <w:rsid w:val="00850D3A"/>
    <w:rsid w:val="00852380"/>
    <w:rsid w:val="008528F8"/>
    <w:rsid w:val="0085416C"/>
    <w:rsid w:val="0085476A"/>
    <w:rsid w:val="0085636F"/>
    <w:rsid w:val="00856534"/>
    <w:rsid w:val="0086069F"/>
    <w:rsid w:val="00861B61"/>
    <w:rsid w:val="00861E56"/>
    <w:rsid w:val="00862057"/>
    <w:rsid w:val="008621DB"/>
    <w:rsid w:val="008632F5"/>
    <w:rsid w:val="0086349D"/>
    <w:rsid w:val="008637B7"/>
    <w:rsid w:val="00863B03"/>
    <w:rsid w:val="00864B6A"/>
    <w:rsid w:val="00864FE3"/>
    <w:rsid w:val="008658EB"/>
    <w:rsid w:val="00865997"/>
    <w:rsid w:val="008660A5"/>
    <w:rsid w:val="0086660E"/>
    <w:rsid w:val="00866B19"/>
    <w:rsid w:val="00866B4A"/>
    <w:rsid w:val="00866CE4"/>
    <w:rsid w:val="0086769E"/>
    <w:rsid w:val="008676FC"/>
    <w:rsid w:val="00870863"/>
    <w:rsid w:val="00872782"/>
    <w:rsid w:val="0087347E"/>
    <w:rsid w:val="008737F0"/>
    <w:rsid w:val="00873837"/>
    <w:rsid w:val="008738D9"/>
    <w:rsid w:val="00873932"/>
    <w:rsid w:val="00873BF1"/>
    <w:rsid w:val="00874037"/>
    <w:rsid w:val="008742EF"/>
    <w:rsid w:val="008755D0"/>
    <w:rsid w:val="00876068"/>
    <w:rsid w:val="00877910"/>
    <w:rsid w:val="008804A9"/>
    <w:rsid w:val="00880774"/>
    <w:rsid w:val="00880ACC"/>
    <w:rsid w:val="0088104D"/>
    <w:rsid w:val="00881A8E"/>
    <w:rsid w:val="008828D4"/>
    <w:rsid w:val="00883937"/>
    <w:rsid w:val="00883BE6"/>
    <w:rsid w:val="008841EE"/>
    <w:rsid w:val="00884FB1"/>
    <w:rsid w:val="00885593"/>
    <w:rsid w:val="0088697A"/>
    <w:rsid w:val="00886BF8"/>
    <w:rsid w:val="008872F0"/>
    <w:rsid w:val="00887C08"/>
    <w:rsid w:val="008902C0"/>
    <w:rsid w:val="0089169C"/>
    <w:rsid w:val="00892179"/>
    <w:rsid w:val="00892571"/>
    <w:rsid w:val="008928FB"/>
    <w:rsid w:val="00892B33"/>
    <w:rsid w:val="00892E55"/>
    <w:rsid w:val="0089461B"/>
    <w:rsid w:val="008950B8"/>
    <w:rsid w:val="00895D3F"/>
    <w:rsid w:val="008968F5"/>
    <w:rsid w:val="00896E8B"/>
    <w:rsid w:val="00897824"/>
    <w:rsid w:val="008A0875"/>
    <w:rsid w:val="008A0AB1"/>
    <w:rsid w:val="008A179A"/>
    <w:rsid w:val="008A1C72"/>
    <w:rsid w:val="008A3FFC"/>
    <w:rsid w:val="008A4848"/>
    <w:rsid w:val="008A6FE7"/>
    <w:rsid w:val="008A7193"/>
    <w:rsid w:val="008A7523"/>
    <w:rsid w:val="008A791E"/>
    <w:rsid w:val="008B1857"/>
    <w:rsid w:val="008B1D3F"/>
    <w:rsid w:val="008B25FC"/>
    <w:rsid w:val="008B3A48"/>
    <w:rsid w:val="008B3C15"/>
    <w:rsid w:val="008B3E67"/>
    <w:rsid w:val="008B43AB"/>
    <w:rsid w:val="008B4B88"/>
    <w:rsid w:val="008B5493"/>
    <w:rsid w:val="008B5918"/>
    <w:rsid w:val="008B60D8"/>
    <w:rsid w:val="008B6210"/>
    <w:rsid w:val="008B756D"/>
    <w:rsid w:val="008B7902"/>
    <w:rsid w:val="008C2269"/>
    <w:rsid w:val="008C25B5"/>
    <w:rsid w:val="008C2730"/>
    <w:rsid w:val="008C2D32"/>
    <w:rsid w:val="008C3EDB"/>
    <w:rsid w:val="008C3EF6"/>
    <w:rsid w:val="008C4092"/>
    <w:rsid w:val="008C484A"/>
    <w:rsid w:val="008C4FB8"/>
    <w:rsid w:val="008C5689"/>
    <w:rsid w:val="008C59C8"/>
    <w:rsid w:val="008C5E7D"/>
    <w:rsid w:val="008C6087"/>
    <w:rsid w:val="008C65DC"/>
    <w:rsid w:val="008C6862"/>
    <w:rsid w:val="008C69CA"/>
    <w:rsid w:val="008C7ABA"/>
    <w:rsid w:val="008D183C"/>
    <w:rsid w:val="008D325B"/>
    <w:rsid w:val="008D35A4"/>
    <w:rsid w:val="008D5038"/>
    <w:rsid w:val="008D5288"/>
    <w:rsid w:val="008D5883"/>
    <w:rsid w:val="008D59B6"/>
    <w:rsid w:val="008D60E0"/>
    <w:rsid w:val="008D6C75"/>
    <w:rsid w:val="008D7EA8"/>
    <w:rsid w:val="008E0036"/>
    <w:rsid w:val="008E01F2"/>
    <w:rsid w:val="008E0423"/>
    <w:rsid w:val="008E1946"/>
    <w:rsid w:val="008E39DE"/>
    <w:rsid w:val="008E40BF"/>
    <w:rsid w:val="008E4214"/>
    <w:rsid w:val="008E4784"/>
    <w:rsid w:val="008E583F"/>
    <w:rsid w:val="008E6640"/>
    <w:rsid w:val="008E666A"/>
    <w:rsid w:val="008E6696"/>
    <w:rsid w:val="008E6FF3"/>
    <w:rsid w:val="008E79B3"/>
    <w:rsid w:val="008E7BE4"/>
    <w:rsid w:val="008F0247"/>
    <w:rsid w:val="008F0783"/>
    <w:rsid w:val="008F07AE"/>
    <w:rsid w:val="008F1AFE"/>
    <w:rsid w:val="008F1D42"/>
    <w:rsid w:val="008F24BD"/>
    <w:rsid w:val="008F285D"/>
    <w:rsid w:val="008F2BB5"/>
    <w:rsid w:val="008F3B6B"/>
    <w:rsid w:val="008F4307"/>
    <w:rsid w:val="008F4C02"/>
    <w:rsid w:val="008F4DE7"/>
    <w:rsid w:val="008F6BEA"/>
    <w:rsid w:val="00900364"/>
    <w:rsid w:val="00900F94"/>
    <w:rsid w:val="00901E65"/>
    <w:rsid w:val="00902759"/>
    <w:rsid w:val="00902CA1"/>
    <w:rsid w:val="009051A0"/>
    <w:rsid w:val="00905252"/>
    <w:rsid w:val="0090640C"/>
    <w:rsid w:val="009076E4"/>
    <w:rsid w:val="009079A4"/>
    <w:rsid w:val="00907A9E"/>
    <w:rsid w:val="00910331"/>
    <w:rsid w:val="00910897"/>
    <w:rsid w:val="0091104D"/>
    <w:rsid w:val="00911C34"/>
    <w:rsid w:val="00912A99"/>
    <w:rsid w:val="00913B23"/>
    <w:rsid w:val="009152A7"/>
    <w:rsid w:val="00915357"/>
    <w:rsid w:val="00915857"/>
    <w:rsid w:val="00916689"/>
    <w:rsid w:val="0091729D"/>
    <w:rsid w:val="0091731F"/>
    <w:rsid w:val="009174B6"/>
    <w:rsid w:val="00917AAC"/>
    <w:rsid w:val="00917E9E"/>
    <w:rsid w:val="0092082A"/>
    <w:rsid w:val="009209E6"/>
    <w:rsid w:val="0092149A"/>
    <w:rsid w:val="00921511"/>
    <w:rsid w:val="0092273A"/>
    <w:rsid w:val="00922A3A"/>
    <w:rsid w:val="00922D6E"/>
    <w:rsid w:val="00923EB1"/>
    <w:rsid w:val="00924238"/>
    <w:rsid w:val="00924C8F"/>
    <w:rsid w:val="00925755"/>
    <w:rsid w:val="0092587C"/>
    <w:rsid w:val="0092602F"/>
    <w:rsid w:val="00926A72"/>
    <w:rsid w:val="00926A7E"/>
    <w:rsid w:val="00926D71"/>
    <w:rsid w:val="0092711E"/>
    <w:rsid w:val="00927E11"/>
    <w:rsid w:val="009304E3"/>
    <w:rsid w:val="00930618"/>
    <w:rsid w:val="00930C19"/>
    <w:rsid w:val="009319BD"/>
    <w:rsid w:val="00932174"/>
    <w:rsid w:val="009328E4"/>
    <w:rsid w:val="00932929"/>
    <w:rsid w:val="00932E4B"/>
    <w:rsid w:val="0093339A"/>
    <w:rsid w:val="00934095"/>
    <w:rsid w:val="00934492"/>
    <w:rsid w:val="0093493A"/>
    <w:rsid w:val="00934E9D"/>
    <w:rsid w:val="00935649"/>
    <w:rsid w:val="00935CF6"/>
    <w:rsid w:val="00935FDA"/>
    <w:rsid w:val="009373A8"/>
    <w:rsid w:val="0093788E"/>
    <w:rsid w:val="00937BC4"/>
    <w:rsid w:val="00937D13"/>
    <w:rsid w:val="009413F2"/>
    <w:rsid w:val="0094156D"/>
    <w:rsid w:val="00941C73"/>
    <w:rsid w:val="00942733"/>
    <w:rsid w:val="00942B32"/>
    <w:rsid w:val="00942BEE"/>
    <w:rsid w:val="00943156"/>
    <w:rsid w:val="009431C6"/>
    <w:rsid w:val="00943592"/>
    <w:rsid w:val="00943A21"/>
    <w:rsid w:val="009441F6"/>
    <w:rsid w:val="0094492E"/>
    <w:rsid w:val="009453C0"/>
    <w:rsid w:val="0094575E"/>
    <w:rsid w:val="00945CFF"/>
    <w:rsid w:val="00945D75"/>
    <w:rsid w:val="009468E7"/>
    <w:rsid w:val="00946C6D"/>
    <w:rsid w:val="009476FF"/>
    <w:rsid w:val="0094792D"/>
    <w:rsid w:val="0095083A"/>
    <w:rsid w:val="00950A66"/>
    <w:rsid w:val="00950B9C"/>
    <w:rsid w:val="00950E0D"/>
    <w:rsid w:val="0095178B"/>
    <w:rsid w:val="00951EC3"/>
    <w:rsid w:val="009522BD"/>
    <w:rsid w:val="0095284B"/>
    <w:rsid w:val="00952A0E"/>
    <w:rsid w:val="00953890"/>
    <w:rsid w:val="0095454E"/>
    <w:rsid w:val="00955A33"/>
    <w:rsid w:val="00955C86"/>
    <w:rsid w:val="00955F05"/>
    <w:rsid w:val="0095651C"/>
    <w:rsid w:val="00957496"/>
    <w:rsid w:val="00957F91"/>
    <w:rsid w:val="00960DD0"/>
    <w:rsid w:val="00961DB7"/>
    <w:rsid w:val="009638A8"/>
    <w:rsid w:val="00965D82"/>
    <w:rsid w:val="00965DE7"/>
    <w:rsid w:val="00966C4E"/>
    <w:rsid w:val="00966C7C"/>
    <w:rsid w:val="00966F1E"/>
    <w:rsid w:val="009702C2"/>
    <w:rsid w:val="00970606"/>
    <w:rsid w:val="00970B75"/>
    <w:rsid w:val="0097168B"/>
    <w:rsid w:val="00971C97"/>
    <w:rsid w:val="00972DA1"/>
    <w:rsid w:val="00972FA3"/>
    <w:rsid w:val="009731A3"/>
    <w:rsid w:val="0097372E"/>
    <w:rsid w:val="009743FD"/>
    <w:rsid w:val="009744FB"/>
    <w:rsid w:val="0097545B"/>
    <w:rsid w:val="00976E75"/>
    <w:rsid w:val="0097730A"/>
    <w:rsid w:val="00977CEC"/>
    <w:rsid w:val="00980A46"/>
    <w:rsid w:val="00980FFC"/>
    <w:rsid w:val="00981196"/>
    <w:rsid w:val="009824CB"/>
    <w:rsid w:val="009828BC"/>
    <w:rsid w:val="009835ED"/>
    <w:rsid w:val="00983C69"/>
    <w:rsid w:val="0098405D"/>
    <w:rsid w:val="009843CD"/>
    <w:rsid w:val="0098492A"/>
    <w:rsid w:val="00984DA8"/>
    <w:rsid w:val="009858A8"/>
    <w:rsid w:val="00985E4D"/>
    <w:rsid w:val="00986297"/>
    <w:rsid w:val="00986B1B"/>
    <w:rsid w:val="009878F8"/>
    <w:rsid w:val="00987E13"/>
    <w:rsid w:val="00990B93"/>
    <w:rsid w:val="00990E3F"/>
    <w:rsid w:val="00990F2C"/>
    <w:rsid w:val="00990FA8"/>
    <w:rsid w:val="009918B0"/>
    <w:rsid w:val="00991C5C"/>
    <w:rsid w:val="009923FB"/>
    <w:rsid w:val="00992461"/>
    <w:rsid w:val="00993BB8"/>
    <w:rsid w:val="00995237"/>
    <w:rsid w:val="00995424"/>
    <w:rsid w:val="00995436"/>
    <w:rsid w:val="0099704B"/>
    <w:rsid w:val="00997300"/>
    <w:rsid w:val="00997CDA"/>
    <w:rsid w:val="009A122A"/>
    <w:rsid w:val="009A193B"/>
    <w:rsid w:val="009A1E6B"/>
    <w:rsid w:val="009A2551"/>
    <w:rsid w:val="009A27F6"/>
    <w:rsid w:val="009A2BE5"/>
    <w:rsid w:val="009A2C60"/>
    <w:rsid w:val="009A2DDA"/>
    <w:rsid w:val="009A3AC4"/>
    <w:rsid w:val="009A5361"/>
    <w:rsid w:val="009A6F4C"/>
    <w:rsid w:val="009A6F96"/>
    <w:rsid w:val="009A74D7"/>
    <w:rsid w:val="009A7ECC"/>
    <w:rsid w:val="009B0ABF"/>
    <w:rsid w:val="009B0EEE"/>
    <w:rsid w:val="009B13AD"/>
    <w:rsid w:val="009B1DE0"/>
    <w:rsid w:val="009B1DFD"/>
    <w:rsid w:val="009B1FBB"/>
    <w:rsid w:val="009B256A"/>
    <w:rsid w:val="009B25C0"/>
    <w:rsid w:val="009B2F97"/>
    <w:rsid w:val="009B316C"/>
    <w:rsid w:val="009B3246"/>
    <w:rsid w:val="009B3525"/>
    <w:rsid w:val="009B6F79"/>
    <w:rsid w:val="009B7B48"/>
    <w:rsid w:val="009C0732"/>
    <w:rsid w:val="009C0B2E"/>
    <w:rsid w:val="009C2019"/>
    <w:rsid w:val="009C26C7"/>
    <w:rsid w:val="009C3CD0"/>
    <w:rsid w:val="009C408A"/>
    <w:rsid w:val="009C4687"/>
    <w:rsid w:val="009C4AD2"/>
    <w:rsid w:val="009C5F4A"/>
    <w:rsid w:val="009C60A4"/>
    <w:rsid w:val="009C669A"/>
    <w:rsid w:val="009C7BF6"/>
    <w:rsid w:val="009C7EFC"/>
    <w:rsid w:val="009C7F45"/>
    <w:rsid w:val="009C7FD4"/>
    <w:rsid w:val="009D16BB"/>
    <w:rsid w:val="009D1978"/>
    <w:rsid w:val="009D244B"/>
    <w:rsid w:val="009D2F61"/>
    <w:rsid w:val="009D2F8E"/>
    <w:rsid w:val="009D2FD5"/>
    <w:rsid w:val="009D3563"/>
    <w:rsid w:val="009D3735"/>
    <w:rsid w:val="009D3A28"/>
    <w:rsid w:val="009D3C3D"/>
    <w:rsid w:val="009D3EF4"/>
    <w:rsid w:val="009D4C94"/>
    <w:rsid w:val="009D52A8"/>
    <w:rsid w:val="009D5762"/>
    <w:rsid w:val="009D5818"/>
    <w:rsid w:val="009D5AD1"/>
    <w:rsid w:val="009D6A40"/>
    <w:rsid w:val="009D7205"/>
    <w:rsid w:val="009D7FE3"/>
    <w:rsid w:val="009E0400"/>
    <w:rsid w:val="009E0F1E"/>
    <w:rsid w:val="009E11D0"/>
    <w:rsid w:val="009E15D0"/>
    <w:rsid w:val="009E1E5C"/>
    <w:rsid w:val="009E2E39"/>
    <w:rsid w:val="009E42C1"/>
    <w:rsid w:val="009E43A9"/>
    <w:rsid w:val="009E484D"/>
    <w:rsid w:val="009E48A7"/>
    <w:rsid w:val="009E48FD"/>
    <w:rsid w:val="009E6462"/>
    <w:rsid w:val="009E650C"/>
    <w:rsid w:val="009E67B7"/>
    <w:rsid w:val="009E67F0"/>
    <w:rsid w:val="009E7118"/>
    <w:rsid w:val="009E78E4"/>
    <w:rsid w:val="009E7DE4"/>
    <w:rsid w:val="009F1243"/>
    <w:rsid w:val="009F1782"/>
    <w:rsid w:val="009F222C"/>
    <w:rsid w:val="009F3443"/>
    <w:rsid w:val="009F3A7C"/>
    <w:rsid w:val="009F497C"/>
    <w:rsid w:val="009F5206"/>
    <w:rsid w:val="009F65EE"/>
    <w:rsid w:val="009F69D8"/>
    <w:rsid w:val="009F6AD2"/>
    <w:rsid w:val="009F7A3D"/>
    <w:rsid w:val="00A002F6"/>
    <w:rsid w:val="00A00D2F"/>
    <w:rsid w:val="00A031FC"/>
    <w:rsid w:val="00A0347B"/>
    <w:rsid w:val="00A0359D"/>
    <w:rsid w:val="00A05960"/>
    <w:rsid w:val="00A05BEA"/>
    <w:rsid w:val="00A061A4"/>
    <w:rsid w:val="00A061B8"/>
    <w:rsid w:val="00A0681B"/>
    <w:rsid w:val="00A07CCA"/>
    <w:rsid w:val="00A10787"/>
    <w:rsid w:val="00A10DB2"/>
    <w:rsid w:val="00A113A9"/>
    <w:rsid w:val="00A121C0"/>
    <w:rsid w:val="00A1227E"/>
    <w:rsid w:val="00A125C6"/>
    <w:rsid w:val="00A130DF"/>
    <w:rsid w:val="00A13643"/>
    <w:rsid w:val="00A13BCC"/>
    <w:rsid w:val="00A14114"/>
    <w:rsid w:val="00A145B6"/>
    <w:rsid w:val="00A15066"/>
    <w:rsid w:val="00A15BED"/>
    <w:rsid w:val="00A1602E"/>
    <w:rsid w:val="00A160AB"/>
    <w:rsid w:val="00A16315"/>
    <w:rsid w:val="00A1683E"/>
    <w:rsid w:val="00A170A6"/>
    <w:rsid w:val="00A20108"/>
    <w:rsid w:val="00A201B9"/>
    <w:rsid w:val="00A20787"/>
    <w:rsid w:val="00A20C50"/>
    <w:rsid w:val="00A21A5B"/>
    <w:rsid w:val="00A2292F"/>
    <w:rsid w:val="00A23620"/>
    <w:rsid w:val="00A24D4F"/>
    <w:rsid w:val="00A25531"/>
    <w:rsid w:val="00A26235"/>
    <w:rsid w:val="00A269E5"/>
    <w:rsid w:val="00A26EA0"/>
    <w:rsid w:val="00A270B0"/>
    <w:rsid w:val="00A2783F"/>
    <w:rsid w:val="00A27EA3"/>
    <w:rsid w:val="00A308DC"/>
    <w:rsid w:val="00A30A13"/>
    <w:rsid w:val="00A30C6D"/>
    <w:rsid w:val="00A30D48"/>
    <w:rsid w:val="00A3187F"/>
    <w:rsid w:val="00A31DFD"/>
    <w:rsid w:val="00A326F4"/>
    <w:rsid w:val="00A3369F"/>
    <w:rsid w:val="00A3389A"/>
    <w:rsid w:val="00A36789"/>
    <w:rsid w:val="00A36F0A"/>
    <w:rsid w:val="00A37216"/>
    <w:rsid w:val="00A40498"/>
    <w:rsid w:val="00A407C7"/>
    <w:rsid w:val="00A408EA"/>
    <w:rsid w:val="00A40BA7"/>
    <w:rsid w:val="00A41FA5"/>
    <w:rsid w:val="00A431F2"/>
    <w:rsid w:val="00A435BC"/>
    <w:rsid w:val="00A437A2"/>
    <w:rsid w:val="00A43C6F"/>
    <w:rsid w:val="00A43EF5"/>
    <w:rsid w:val="00A445A9"/>
    <w:rsid w:val="00A446F3"/>
    <w:rsid w:val="00A44AF3"/>
    <w:rsid w:val="00A44FC8"/>
    <w:rsid w:val="00A4697E"/>
    <w:rsid w:val="00A46B4E"/>
    <w:rsid w:val="00A474DB"/>
    <w:rsid w:val="00A477D8"/>
    <w:rsid w:val="00A478B0"/>
    <w:rsid w:val="00A47AB4"/>
    <w:rsid w:val="00A500F4"/>
    <w:rsid w:val="00A51213"/>
    <w:rsid w:val="00A51257"/>
    <w:rsid w:val="00A51C2C"/>
    <w:rsid w:val="00A51D3B"/>
    <w:rsid w:val="00A527BC"/>
    <w:rsid w:val="00A532F4"/>
    <w:rsid w:val="00A54CAC"/>
    <w:rsid w:val="00A56CFD"/>
    <w:rsid w:val="00A56D1F"/>
    <w:rsid w:val="00A56F94"/>
    <w:rsid w:val="00A57B40"/>
    <w:rsid w:val="00A60024"/>
    <w:rsid w:val="00A60C26"/>
    <w:rsid w:val="00A61170"/>
    <w:rsid w:val="00A613AD"/>
    <w:rsid w:val="00A6213A"/>
    <w:rsid w:val="00A62436"/>
    <w:rsid w:val="00A62628"/>
    <w:rsid w:val="00A62AD1"/>
    <w:rsid w:val="00A63BD1"/>
    <w:rsid w:val="00A63F99"/>
    <w:rsid w:val="00A64BA2"/>
    <w:rsid w:val="00A65712"/>
    <w:rsid w:val="00A65998"/>
    <w:rsid w:val="00A6651A"/>
    <w:rsid w:val="00A66658"/>
    <w:rsid w:val="00A66EA7"/>
    <w:rsid w:val="00A679B1"/>
    <w:rsid w:val="00A67BB2"/>
    <w:rsid w:val="00A7007D"/>
    <w:rsid w:val="00A706AE"/>
    <w:rsid w:val="00A71131"/>
    <w:rsid w:val="00A72A0D"/>
    <w:rsid w:val="00A736A2"/>
    <w:rsid w:val="00A73E8F"/>
    <w:rsid w:val="00A740F2"/>
    <w:rsid w:val="00A746A2"/>
    <w:rsid w:val="00A74CE3"/>
    <w:rsid w:val="00A754CE"/>
    <w:rsid w:val="00A755AB"/>
    <w:rsid w:val="00A75E88"/>
    <w:rsid w:val="00A76033"/>
    <w:rsid w:val="00A763C6"/>
    <w:rsid w:val="00A766E9"/>
    <w:rsid w:val="00A767EC"/>
    <w:rsid w:val="00A80711"/>
    <w:rsid w:val="00A8316E"/>
    <w:rsid w:val="00A83799"/>
    <w:rsid w:val="00A84718"/>
    <w:rsid w:val="00A84F7B"/>
    <w:rsid w:val="00A85209"/>
    <w:rsid w:val="00A85FC2"/>
    <w:rsid w:val="00A90136"/>
    <w:rsid w:val="00A90253"/>
    <w:rsid w:val="00A905A9"/>
    <w:rsid w:val="00A91763"/>
    <w:rsid w:val="00A9195E"/>
    <w:rsid w:val="00A91D88"/>
    <w:rsid w:val="00A92232"/>
    <w:rsid w:val="00A93102"/>
    <w:rsid w:val="00A937AE"/>
    <w:rsid w:val="00A94673"/>
    <w:rsid w:val="00A949CE"/>
    <w:rsid w:val="00A94C15"/>
    <w:rsid w:val="00A94E22"/>
    <w:rsid w:val="00A951FF"/>
    <w:rsid w:val="00A96C08"/>
    <w:rsid w:val="00AA0416"/>
    <w:rsid w:val="00AA0AE5"/>
    <w:rsid w:val="00AA0BF2"/>
    <w:rsid w:val="00AA2E72"/>
    <w:rsid w:val="00AA467B"/>
    <w:rsid w:val="00AA4A96"/>
    <w:rsid w:val="00AA4AFB"/>
    <w:rsid w:val="00AA4FCC"/>
    <w:rsid w:val="00AA5023"/>
    <w:rsid w:val="00AA6787"/>
    <w:rsid w:val="00AA75E2"/>
    <w:rsid w:val="00AA77C0"/>
    <w:rsid w:val="00AB0093"/>
    <w:rsid w:val="00AB0541"/>
    <w:rsid w:val="00AB09DA"/>
    <w:rsid w:val="00AB282B"/>
    <w:rsid w:val="00AB5E71"/>
    <w:rsid w:val="00AB60C4"/>
    <w:rsid w:val="00AB6291"/>
    <w:rsid w:val="00AB740D"/>
    <w:rsid w:val="00AB77CC"/>
    <w:rsid w:val="00AB78B9"/>
    <w:rsid w:val="00AC06BA"/>
    <w:rsid w:val="00AC0859"/>
    <w:rsid w:val="00AC1600"/>
    <w:rsid w:val="00AC175E"/>
    <w:rsid w:val="00AC21D7"/>
    <w:rsid w:val="00AC2D32"/>
    <w:rsid w:val="00AC3BC9"/>
    <w:rsid w:val="00AC4065"/>
    <w:rsid w:val="00AC4803"/>
    <w:rsid w:val="00AC6215"/>
    <w:rsid w:val="00AC688E"/>
    <w:rsid w:val="00AC7564"/>
    <w:rsid w:val="00AC7B8A"/>
    <w:rsid w:val="00AD14D6"/>
    <w:rsid w:val="00AD2F24"/>
    <w:rsid w:val="00AD314D"/>
    <w:rsid w:val="00AD379F"/>
    <w:rsid w:val="00AD3FAB"/>
    <w:rsid w:val="00AD3FEF"/>
    <w:rsid w:val="00AD4458"/>
    <w:rsid w:val="00AD4CBD"/>
    <w:rsid w:val="00AD4F23"/>
    <w:rsid w:val="00AD640F"/>
    <w:rsid w:val="00AD6558"/>
    <w:rsid w:val="00AD69B4"/>
    <w:rsid w:val="00AD756E"/>
    <w:rsid w:val="00AD77C5"/>
    <w:rsid w:val="00AE0377"/>
    <w:rsid w:val="00AE089A"/>
    <w:rsid w:val="00AE09A9"/>
    <w:rsid w:val="00AE1093"/>
    <w:rsid w:val="00AE194D"/>
    <w:rsid w:val="00AE1C21"/>
    <w:rsid w:val="00AE2243"/>
    <w:rsid w:val="00AE268A"/>
    <w:rsid w:val="00AE2D2E"/>
    <w:rsid w:val="00AE3918"/>
    <w:rsid w:val="00AE4748"/>
    <w:rsid w:val="00AE549A"/>
    <w:rsid w:val="00AE569F"/>
    <w:rsid w:val="00AE5F5F"/>
    <w:rsid w:val="00AE6003"/>
    <w:rsid w:val="00AE69B5"/>
    <w:rsid w:val="00AE7594"/>
    <w:rsid w:val="00AE7DB7"/>
    <w:rsid w:val="00AF0452"/>
    <w:rsid w:val="00AF05A7"/>
    <w:rsid w:val="00AF092D"/>
    <w:rsid w:val="00AF0B9A"/>
    <w:rsid w:val="00AF0C9E"/>
    <w:rsid w:val="00AF19B3"/>
    <w:rsid w:val="00AF1F63"/>
    <w:rsid w:val="00AF20C0"/>
    <w:rsid w:val="00AF2193"/>
    <w:rsid w:val="00AF2DFC"/>
    <w:rsid w:val="00AF3279"/>
    <w:rsid w:val="00AF4F36"/>
    <w:rsid w:val="00AF6748"/>
    <w:rsid w:val="00AF67D6"/>
    <w:rsid w:val="00AF694F"/>
    <w:rsid w:val="00AF7258"/>
    <w:rsid w:val="00AF75FA"/>
    <w:rsid w:val="00B0078A"/>
    <w:rsid w:val="00B00BFD"/>
    <w:rsid w:val="00B0133C"/>
    <w:rsid w:val="00B02B61"/>
    <w:rsid w:val="00B02EF3"/>
    <w:rsid w:val="00B036F3"/>
    <w:rsid w:val="00B03948"/>
    <w:rsid w:val="00B0428A"/>
    <w:rsid w:val="00B057DE"/>
    <w:rsid w:val="00B05A06"/>
    <w:rsid w:val="00B05EF6"/>
    <w:rsid w:val="00B06328"/>
    <w:rsid w:val="00B06394"/>
    <w:rsid w:val="00B06C66"/>
    <w:rsid w:val="00B0753F"/>
    <w:rsid w:val="00B07644"/>
    <w:rsid w:val="00B1118A"/>
    <w:rsid w:val="00B114A0"/>
    <w:rsid w:val="00B1152F"/>
    <w:rsid w:val="00B1224C"/>
    <w:rsid w:val="00B12D83"/>
    <w:rsid w:val="00B1307E"/>
    <w:rsid w:val="00B13475"/>
    <w:rsid w:val="00B13AF0"/>
    <w:rsid w:val="00B13BEC"/>
    <w:rsid w:val="00B143E8"/>
    <w:rsid w:val="00B15107"/>
    <w:rsid w:val="00B1530B"/>
    <w:rsid w:val="00B1706C"/>
    <w:rsid w:val="00B17C9C"/>
    <w:rsid w:val="00B17D84"/>
    <w:rsid w:val="00B20853"/>
    <w:rsid w:val="00B208CB"/>
    <w:rsid w:val="00B215A6"/>
    <w:rsid w:val="00B22024"/>
    <w:rsid w:val="00B2243E"/>
    <w:rsid w:val="00B226BC"/>
    <w:rsid w:val="00B22879"/>
    <w:rsid w:val="00B2295F"/>
    <w:rsid w:val="00B23753"/>
    <w:rsid w:val="00B241A5"/>
    <w:rsid w:val="00B24527"/>
    <w:rsid w:val="00B2465F"/>
    <w:rsid w:val="00B248AD"/>
    <w:rsid w:val="00B25345"/>
    <w:rsid w:val="00B264BD"/>
    <w:rsid w:val="00B26A18"/>
    <w:rsid w:val="00B27B42"/>
    <w:rsid w:val="00B27D64"/>
    <w:rsid w:val="00B30A52"/>
    <w:rsid w:val="00B3115E"/>
    <w:rsid w:val="00B319D5"/>
    <w:rsid w:val="00B31B01"/>
    <w:rsid w:val="00B31BFA"/>
    <w:rsid w:val="00B31C27"/>
    <w:rsid w:val="00B31E4A"/>
    <w:rsid w:val="00B320B1"/>
    <w:rsid w:val="00B321C7"/>
    <w:rsid w:val="00B32420"/>
    <w:rsid w:val="00B3260D"/>
    <w:rsid w:val="00B32A53"/>
    <w:rsid w:val="00B332AF"/>
    <w:rsid w:val="00B3374D"/>
    <w:rsid w:val="00B337B2"/>
    <w:rsid w:val="00B346DA"/>
    <w:rsid w:val="00B34842"/>
    <w:rsid w:val="00B35B5F"/>
    <w:rsid w:val="00B37CAA"/>
    <w:rsid w:val="00B37E61"/>
    <w:rsid w:val="00B4063C"/>
    <w:rsid w:val="00B41357"/>
    <w:rsid w:val="00B41CD4"/>
    <w:rsid w:val="00B41FDC"/>
    <w:rsid w:val="00B43070"/>
    <w:rsid w:val="00B437AE"/>
    <w:rsid w:val="00B442B0"/>
    <w:rsid w:val="00B44AA3"/>
    <w:rsid w:val="00B44D0B"/>
    <w:rsid w:val="00B44E42"/>
    <w:rsid w:val="00B45304"/>
    <w:rsid w:val="00B464E2"/>
    <w:rsid w:val="00B46F73"/>
    <w:rsid w:val="00B50B92"/>
    <w:rsid w:val="00B5106D"/>
    <w:rsid w:val="00B52B36"/>
    <w:rsid w:val="00B5393A"/>
    <w:rsid w:val="00B5416E"/>
    <w:rsid w:val="00B54A90"/>
    <w:rsid w:val="00B54F8E"/>
    <w:rsid w:val="00B553FF"/>
    <w:rsid w:val="00B5645E"/>
    <w:rsid w:val="00B564A6"/>
    <w:rsid w:val="00B56E7A"/>
    <w:rsid w:val="00B57681"/>
    <w:rsid w:val="00B61170"/>
    <w:rsid w:val="00B61373"/>
    <w:rsid w:val="00B6162A"/>
    <w:rsid w:val="00B6167B"/>
    <w:rsid w:val="00B61916"/>
    <w:rsid w:val="00B6214F"/>
    <w:rsid w:val="00B62390"/>
    <w:rsid w:val="00B624F8"/>
    <w:rsid w:val="00B63112"/>
    <w:rsid w:val="00B633A6"/>
    <w:rsid w:val="00B641A9"/>
    <w:rsid w:val="00B64238"/>
    <w:rsid w:val="00B64B49"/>
    <w:rsid w:val="00B6537E"/>
    <w:rsid w:val="00B6538A"/>
    <w:rsid w:val="00B65B9E"/>
    <w:rsid w:val="00B65F41"/>
    <w:rsid w:val="00B66FCE"/>
    <w:rsid w:val="00B67953"/>
    <w:rsid w:val="00B67B80"/>
    <w:rsid w:val="00B701CB"/>
    <w:rsid w:val="00B7113C"/>
    <w:rsid w:val="00B7151E"/>
    <w:rsid w:val="00B72205"/>
    <w:rsid w:val="00B72739"/>
    <w:rsid w:val="00B72D54"/>
    <w:rsid w:val="00B73136"/>
    <w:rsid w:val="00B741AC"/>
    <w:rsid w:val="00B751F2"/>
    <w:rsid w:val="00B75EA4"/>
    <w:rsid w:val="00B77A6D"/>
    <w:rsid w:val="00B80A3D"/>
    <w:rsid w:val="00B80B6D"/>
    <w:rsid w:val="00B80DAC"/>
    <w:rsid w:val="00B811C5"/>
    <w:rsid w:val="00B81458"/>
    <w:rsid w:val="00B81C53"/>
    <w:rsid w:val="00B82441"/>
    <w:rsid w:val="00B83109"/>
    <w:rsid w:val="00B83965"/>
    <w:rsid w:val="00B83FAB"/>
    <w:rsid w:val="00B857CF"/>
    <w:rsid w:val="00B85E74"/>
    <w:rsid w:val="00B87232"/>
    <w:rsid w:val="00B87A98"/>
    <w:rsid w:val="00B87C3A"/>
    <w:rsid w:val="00B87C48"/>
    <w:rsid w:val="00B910A0"/>
    <w:rsid w:val="00B9269D"/>
    <w:rsid w:val="00B92867"/>
    <w:rsid w:val="00B934DB"/>
    <w:rsid w:val="00B93730"/>
    <w:rsid w:val="00B945AD"/>
    <w:rsid w:val="00B94A3E"/>
    <w:rsid w:val="00B94EB8"/>
    <w:rsid w:val="00B95743"/>
    <w:rsid w:val="00B95E0A"/>
    <w:rsid w:val="00B9662B"/>
    <w:rsid w:val="00B970A0"/>
    <w:rsid w:val="00BA03C9"/>
    <w:rsid w:val="00BA0DAC"/>
    <w:rsid w:val="00BA27B1"/>
    <w:rsid w:val="00BA33F6"/>
    <w:rsid w:val="00BA3826"/>
    <w:rsid w:val="00BA39C6"/>
    <w:rsid w:val="00BA43AF"/>
    <w:rsid w:val="00BA5344"/>
    <w:rsid w:val="00BA5BE6"/>
    <w:rsid w:val="00BA5E61"/>
    <w:rsid w:val="00BA63B4"/>
    <w:rsid w:val="00BA71E1"/>
    <w:rsid w:val="00BB024E"/>
    <w:rsid w:val="00BB0440"/>
    <w:rsid w:val="00BB0E0B"/>
    <w:rsid w:val="00BB115F"/>
    <w:rsid w:val="00BB140E"/>
    <w:rsid w:val="00BB20A1"/>
    <w:rsid w:val="00BB224C"/>
    <w:rsid w:val="00BB24B3"/>
    <w:rsid w:val="00BB25D9"/>
    <w:rsid w:val="00BB2ABA"/>
    <w:rsid w:val="00BB37DD"/>
    <w:rsid w:val="00BB3F26"/>
    <w:rsid w:val="00BB5247"/>
    <w:rsid w:val="00BB5CBA"/>
    <w:rsid w:val="00BB69F4"/>
    <w:rsid w:val="00BB6A27"/>
    <w:rsid w:val="00BB6E71"/>
    <w:rsid w:val="00BC03ED"/>
    <w:rsid w:val="00BC09C4"/>
    <w:rsid w:val="00BC1B9E"/>
    <w:rsid w:val="00BC4AB9"/>
    <w:rsid w:val="00BC5021"/>
    <w:rsid w:val="00BC607A"/>
    <w:rsid w:val="00BC6932"/>
    <w:rsid w:val="00BC6BF4"/>
    <w:rsid w:val="00BC7517"/>
    <w:rsid w:val="00BC7969"/>
    <w:rsid w:val="00BD02D4"/>
    <w:rsid w:val="00BD13D5"/>
    <w:rsid w:val="00BD1BCF"/>
    <w:rsid w:val="00BD2115"/>
    <w:rsid w:val="00BD2752"/>
    <w:rsid w:val="00BD2DF4"/>
    <w:rsid w:val="00BD56C2"/>
    <w:rsid w:val="00BD6426"/>
    <w:rsid w:val="00BD6A76"/>
    <w:rsid w:val="00BD71E8"/>
    <w:rsid w:val="00BD77B2"/>
    <w:rsid w:val="00BD7B0C"/>
    <w:rsid w:val="00BD7F41"/>
    <w:rsid w:val="00BD7FFB"/>
    <w:rsid w:val="00BE04D3"/>
    <w:rsid w:val="00BE0626"/>
    <w:rsid w:val="00BE06A0"/>
    <w:rsid w:val="00BE0A39"/>
    <w:rsid w:val="00BE1032"/>
    <w:rsid w:val="00BE2EA0"/>
    <w:rsid w:val="00BE3C18"/>
    <w:rsid w:val="00BE418A"/>
    <w:rsid w:val="00BE55CD"/>
    <w:rsid w:val="00BE55FA"/>
    <w:rsid w:val="00BE70E0"/>
    <w:rsid w:val="00BE73CB"/>
    <w:rsid w:val="00BE7A91"/>
    <w:rsid w:val="00BF0A25"/>
    <w:rsid w:val="00BF1CE4"/>
    <w:rsid w:val="00BF2131"/>
    <w:rsid w:val="00BF2F3C"/>
    <w:rsid w:val="00BF3037"/>
    <w:rsid w:val="00BF3C26"/>
    <w:rsid w:val="00BF49B6"/>
    <w:rsid w:val="00BF530F"/>
    <w:rsid w:val="00BF6838"/>
    <w:rsid w:val="00BF7E2F"/>
    <w:rsid w:val="00C0005A"/>
    <w:rsid w:val="00C007EF"/>
    <w:rsid w:val="00C031E1"/>
    <w:rsid w:val="00C03358"/>
    <w:rsid w:val="00C033AD"/>
    <w:rsid w:val="00C04C07"/>
    <w:rsid w:val="00C04C58"/>
    <w:rsid w:val="00C04E08"/>
    <w:rsid w:val="00C053C5"/>
    <w:rsid w:val="00C06BFB"/>
    <w:rsid w:val="00C06F3D"/>
    <w:rsid w:val="00C0767D"/>
    <w:rsid w:val="00C10A70"/>
    <w:rsid w:val="00C10FF3"/>
    <w:rsid w:val="00C11187"/>
    <w:rsid w:val="00C11B6F"/>
    <w:rsid w:val="00C14302"/>
    <w:rsid w:val="00C1494F"/>
    <w:rsid w:val="00C14A90"/>
    <w:rsid w:val="00C157C9"/>
    <w:rsid w:val="00C15E7A"/>
    <w:rsid w:val="00C17360"/>
    <w:rsid w:val="00C20542"/>
    <w:rsid w:val="00C20DD0"/>
    <w:rsid w:val="00C21243"/>
    <w:rsid w:val="00C2128D"/>
    <w:rsid w:val="00C212F4"/>
    <w:rsid w:val="00C213D6"/>
    <w:rsid w:val="00C21B11"/>
    <w:rsid w:val="00C21B19"/>
    <w:rsid w:val="00C22047"/>
    <w:rsid w:val="00C24168"/>
    <w:rsid w:val="00C25437"/>
    <w:rsid w:val="00C255B1"/>
    <w:rsid w:val="00C26A0E"/>
    <w:rsid w:val="00C26FD8"/>
    <w:rsid w:val="00C2707C"/>
    <w:rsid w:val="00C27248"/>
    <w:rsid w:val="00C272A8"/>
    <w:rsid w:val="00C27F21"/>
    <w:rsid w:val="00C27F7A"/>
    <w:rsid w:val="00C301E8"/>
    <w:rsid w:val="00C30277"/>
    <w:rsid w:val="00C30441"/>
    <w:rsid w:val="00C30779"/>
    <w:rsid w:val="00C317FC"/>
    <w:rsid w:val="00C319F4"/>
    <w:rsid w:val="00C32B0A"/>
    <w:rsid w:val="00C3340C"/>
    <w:rsid w:val="00C33944"/>
    <w:rsid w:val="00C349CD"/>
    <w:rsid w:val="00C349FC"/>
    <w:rsid w:val="00C34A17"/>
    <w:rsid w:val="00C36019"/>
    <w:rsid w:val="00C36857"/>
    <w:rsid w:val="00C36DA3"/>
    <w:rsid w:val="00C371C9"/>
    <w:rsid w:val="00C37D0F"/>
    <w:rsid w:val="00C37DCD"/>
    <w:rsid w:val="00C40800"/>
    <w:rsid w:val="00C40808"/>
    <w:rsid w:val="00C40AD9"/>
    <w:rsid w:val="00C41368"/>
    <w:rsid w:val="00C4165F"/>
    <w:rsid w:val="00C41926"/>
    <w:rsid w:val="00C41BC1"/>
    <w:rsid w:val="00C41E5C"/>
    <w:rsid w:val="00C41F4B"/>
    <w:rsid w:val="00C41FD9"/>
    <w:rsid w:val="00C427E8"/>
    <w:rsid w:val="00C4458B"/>
    <w:rsid w:val="00C45724"/>
    <w:rsid w:val="00C45ED8"/>
    <w:rsid w:val="00C46B58"/>
    <w:rsid w:val="00C4701F"/>
    <w:rsid w:val="00C479B0"/>
    <w:rsid w:val="00C47E24"/>
    <w:rsid w:val="00C5213E"/>
    <w:rsid w:val="00C52378"/>
    <w:rsid w:val="00C52493"/>
    <w:rsid w:val="00C525A0"/>
    <w:rsid w:val="00C53489"/>
    <w:rsid w:val="00C53810"/>
    <w:rsid w:val="00C5518A"/>
    <w:rsid w:val="00C55F8D"/>
    <w:rsid w:val="00C57951"/>
    <w:rsid w:val="00C60AF8"/>
    <w:rsid w:val="00C60B95"/>
    <w:rsid w:val="00C61AFF"/>
    <w:rsid w:val="00C626E6"/>
    <w:rsid w:val="00C64E23"/>
    <w:rsid w:val="00C65770"/>
    <w:rsid w:val="00C66343"/>
    <w:rsid w:val="00C67641"/>
    <w:rsid w:val="00C679B3"/>
    <w:rsid w:val="00C67E04"/>
    <w:rsid w:val="00C67E40"/>
    <w:rsid w:val="00C71526"/>
    <w:rsid w:val="00C724A6"/>
    <w:rsid w:val="00C72B4C"/>
    <w:rsid w:val="00C742CB"/>
    <w:rsid w:val="00C758DD"/>
    <w:rsid w:val="00C775A5"/>
    <w:rsid w:val="00C77D6F"/>
    <w:rsid w:val="00C804BE"/>
    <w:rsid w:val="00C8061E"/>
    <w:rsid w:val="00C80732"/>
    <w:rsid w:val="00C8272D"/>
    <w:rsid w:val="00C83162"/>
    <w:rsid w:val="00C845BA"/>
    <w:rsid w:val="00C84BCA"/>
    <w:rsid w:val="00C84BD6"/>
    <w:rsid w:val="00C84DBC"/>
    <w:rsid w:val="00C857A2"/>
    <w:rsid w:val="00C85B21"/>
    <w:rsid w:val="00C86004"/>
    <w:rsid w:val="00C87363"/>
    <w:rsid w:val="00C8794D"/>
    <w:rsid w:val="00C87C8E"/>
    <w:rsid w:val="00C87E3B"/>
    <w:rsid w:val="00C91D67"/>
    <w:rsid w:val="00C9252B"/>
    <w:rsid w:val="00C92889"/>
    <w:rsid w:val="00C94044"/>
    <w:rsid w:val="00C94071"/>
    <w:rsid w:val="00C9480D"/>
    <w:rsid w:val="00C951E7"/>
    <w:rsid w:val="00C9592A"/>
    <w:rsid w:val="00C95ACB"/>
    <w:rsid w:val="00C96073"/>
    <w:rsid w:val="00C969AF"/>
    <w:rsid w:val="00C97535"/>
    <w:rsid w:val="00C97893"/>
    <w:rsid w:val="00CA0460"/>
    <w:rsid w:val="00CA0992"/>
    <w:rsid w:val="00CA09DE"/>
    <w:rsid w:val="00CA12CD"/>
    <w:rsid w:val="00CA1346"/>
    <w:rsid w:val="00CA1AEF"/>
    <w:rsid w:val="00CA2BA0"/>
    <w:rsid w:val="00CA32FD"/>
    <w:rsid w:val="00CA338B"/>
    <w:rsid w:val="00CA3945"/>
    <w:rsid w:val="00CA4131"/>
    <w:rsid w:val="00CA532D"/>
    <w:rsid w:val="00CA6226"/>
    <w:rsid w:val="00CA6834"/>
    <w:rsid w:val="00CA68FD"/>
    <w:rsid w:val="00CA71F9"/>
    <w:rsid w:val="00CA7AFE"/>
    <w:rsid w:val="00CB023C"/>
    <w:rsid w:val="00CB330E"/>
    <w:rsid w:val="00CB3BA5"/>
    <w:rsid w:val="00CB4381"/>
    <w:rsid w:val="00CB49F8"/>
    <w:rsid w:val="00CB4DA8"/>
    <w:rsid w:val="00CB5E5C"/>
    <w:rsid w:val="00CB6474"/>
    <w:rsid w:val="00CB66A7"/>
    <w:rsid w:val="00CB7352"/>
    <w:rsid w:val="00CB7B26"/>
    <w:rsid w:val="00CC066E"/>
    <w:rsid w:val="00CC1E5F"/>
    <w:rsid w:val="00CC23CE"/>
    <w:rsid w:val="00CC2528"/>
    <w:rsid w:val="00CC264E"/>
    <w:rsid w:val="00CC43EA"/>
    <w:rsid w:val="00CC466E"/>
    <w:rsid w:val="00CC4CE4"/>
    <w:rsid w:val="00CC571D"/>
    <w:rsid w:val="00CC5CBB"/>
    <w:rsid w:val="00CC6ACD"/>
    <w:rsid w:val="00CC7D64"/>
    <w:rsid w:val="00CD0008"/>
    <w:rsid w:val="00CD0149"/>
    <w:rsid w:val="00CD08F6"/>
    <w:rsid w:val="00CD151C"/>
    <w:rsid w:val="00CD1862"/>
    <w:rsid w:val="00CD1AEE"/>
    <w:rsid w:val="00CD1D0C"/>
    <w:rsid w:val="00CD297F"/>
    <w:rsid w:val="00CD3131"/>
    <w:rsid w:val="00CD3F4E"/>
    <w:rsid w:val="00CD44DC"/>
    <w:rsid w:val="00CD5A3A"/>
    <w:rsid w:val="00CE32E9"/>
    <w:rsid w:val="00CE46AE"/>
    <w:rsid w:val="00CE6555"/>
    <w:rsid w:val="00CE6C1B"/>
    <w:rsid w:val="00CE72CA"/>
    <w:rsid w:val="00CE74F6"/>
    <w:rsid w:val="00CF0F3B"/>
    <w:rsid w:val="00CF13BC"/>
    <w:rsid w:val="00CF27DE"/>
    <w:rsid w:val="00CF2CA3"/>
    <w:rsid w:val="00CF2ED0"/>
    <w:rsid w:val="00CF4061"/>
    <w:rsid w:val="00CF462B"/>
    <w:rsid w:val="00CF4C9A"/>
    <w:rsid w:val="00CF4F7E"/>
    <w:rsid w:val="00CF64F8"/>
    <w:rsid w:val="00CF6703"/>
    <w:rsid w:val="00CF6733"/>
    <w:rsid w:val="00CF7125"/>
    <w:rsid w:val="00CF71F2"/>
    <w:rsid w:val="00CF7652"/>
    <w:rsid w:val="00CF7987"/>
    <w:rsid w:val="00CF7ED6"/>
    <w:rsid w:val="00D00873"/>
    <w:rsid w:val="00D00DC2"/>
    <w:rsid w:val="00D01251"/>
    <w:rsid w:val="00D01BC2"/>
    <w:rsid w:val="00D01E92"/>
    <w:rsid w:val="00D02422"/>
    <w:rsid w:val="00D02A79"/>
    <w:rsid w:val="00D03154"/>
    <w:rsid w:val="00D05333"/>
    <w:rsid w:val="00D053B0"/>
    <w:rsid w:val="00D05836"/>
    <w:rsid w:val="00D06114"/>
    <w:rsid w:val="00D068FD"/>
    <w:rsid w:val="00D07D15"/>
    <w:rsid w:val="00D107C1"/>
    <w:rsid w:val="00D108C0"/>
    <w:rsid w:val="00D11384"/>
    <w:rsid w:val="00D11BDC"/>
    <w:rsid w:val="00D11D72"/>
    <w:rsid w:val="00D125D0"/>
    <w:rsid w:val="00D129A6"/>
    <w:rsid w:val="00D129D3"/>
    <w:rsid w:val="00D13D50"/>
    <w:rsid w:val="00D13E67"/>
    <w:rsid w:val="00D13F7A"/>
    <w:rsid w:val="00D1515D"/>
    <w:rsid w:val="00D1527C"/>
    <w:rsid w:val="00D15A70"/>
    <w:rsid w:val="00D1636C"/>
    <w:rsid w:val="00D177F9"/>
    <w:rsid w:val="00D20250"/>
    <w:rsid w:val="00D2035D"/>
    <w:rsid w:val="00D20AFA"/>
    <w:rsid w:val="00D21D73"/>
    <w:rsid w:val="00D227D5"/>
    <w:rsid w:val="00D22800"/>
    <w:rsid w:val="00D23654"/>
    <w:rsid w:val="00D238C4"/>
    <w:rsid w:val="00D2529F"/>
    <w:rsid w:val="00D25422"/>
    <w:rsid w:val="00D2731D"/>
    <w:rsid w:val="00D27352"/>
    <w:rsid w:val="00D27A96"/>
    <w:rsid w:val="00D301FF"/>
    <w:rsid w:val="00D3052C"/>
    <w:rsid w:val="00D306B5"/>
    <w:rsid w:val="00D324E7"/>
    <w:rsid w:val="00D32F88"/>
    <w:rsid w:val="00D32FB8"/>
    <w:rsid w:val="00D3389C"/>
    <w:rsid w:val="00D338B0"/>
    <w:rsid w:val="00D33ABB"/>
    <w:rsid w:val="00D33AE0"/>
    <w:rsid w:val="00D34EA9"/>
    <w:rsid w:val="00D34F03"/>
    <w:rsid w:val="00D35C72"/>
    <w:rsid w:val="00D35F01"/>
    <w:rsid w:val="00D36B56"/>
    <w:rsid w:val="00D3720B"/>
    <w:rsid w:val="00D40270"/>
    <w:rsid w:val="00D40964"/>
    <w:rsid w:val="00D409C9"/>
    <w:rsid w:val="00D41237"/>
    <w:rsid w:val="00D41AD7"/>
    <w:rsid w:val="00D42278"/>
    <w:rsid w:val="00D42909"/>
    <w:rsid w:val="00D43FFF"/>
    <w:rsid w:val="00D44336"/>
    <w:rsid w:val="00D449AA"/>
    <w:rsid w:val="00D45096"/>
    <w:rsid w:val="00D45286"/>
    <w:rsid w:val="00D452BD"/>
    <w:rsid w:val="00D46470"/>
    <w:rsid w:val="00D470D4"/>
    <w:rsid w:val="00D4761A"/>
    <w:rsid w:val="00D47E8E"/>
    <w:rsid w:val="00D5068A"/>
    <w:rsid w:val="00D50ED5"/>
    <w:rsid w:val="00D510E5"/>
    <w:rsid w:val="00D52E9B"/>
    <w:rsid w:val="00D534E1"/>
    <w:rsid w:val="00D54CD0"/>
    <w:rsid w:val="00D54D13"/>
    <w:rsid w:val="00D55272"/>
    <w:rsid w:val="00D5621D"/>
    <w:rsid w:val="00D56837"/>
    <w:rsid w:val="00D569F5"/>
    <w:rsid w:val="00D56A23"/>
    <w:rsid w:val="00D57B90"/>
    <w:rsid w:val="00D57CFB"/>
    <w:rsid w:val="00D62453"/>
    <w:rsid w:val="00D63105"/>
    <w:rsid w:val="00D631DE"/>
    <w:rsid w:val="00D6431D"/>
    <w:rsid w:val="00D6473A"/>
    <w:rsid w:val="00D647FA"/>
    <w:rsid w:val="00D64870"/>
    <w:rsid w:val="00D6597A"/>
    <w:rsid w:val="00D66A3C"/>
    <w:rsid w:val="00D679AC"/>
    <w:rsid w:val="00D7025F"/>
    <w:rsid w:val="00D70712"/>
    <w:rsid w:val="00D710C0"/>
    <w:rsid w:val="00D7111E"/>
    <w:rsid w:val="00D71CD9"/>
    <w:rsid w:val="00D71F84"/>
    <w:rsid w:val="00D721BE"/>
    <w:rsid w:val="00D724C5"/>
    <w:rsid w:val="00D72741"/>
    <w:rsid w:val="00D72C2F"/>
    <w:rsid w:val="00D746D2"/>
    <w:rsid w:val="00D75110"/>
    <w:rsid w:val="00D75741"/>
    <w:rsid w:val="00D7587A"/>
    <w:rsid w:val="00D760FB"/>
    <w:rsid w:val="00D76B08"/>
    <w:rsid w:val="00D76BA3"/>
    <w:rsid w:val="00D76E54"/>
    <w:rsid w:val="00D77AA6"/>
    <w:rsid w:val="00D80883"/>
    <w:rsid w:val="00D808C1"/>
    <w:rsid w:val="00D80F65"/>
    <w:rsid w:val="00D81337"/>
    <w:rsid w:val="00D819D2"/>
    <w:rsid w:val="00D82765"/>
    <w:rsid w:val="00D82E4D"/>
    <w:rsid w:val="00D834FB"/>
    <w:rsid w:val="00D838BD"/>
    <w:rsid w:val="00D8391E"/>
    <w:rsid w:val="00D83B89"/>
    <w:rsid w:val="00D84DBF"/>
    <w:rsid w:val="00D851EA"/>
    <w:rsid w:val="00D86E3E"/>
    <w:rsid w:val="00D9080F"/>
    <w:rsid w:val="00D90AF0"/>
    <w:rsid w:val="00D90F61"/>
    <w:rsid w:val="00D92142"/>
    <w:rsid w:val="00D926C7"/>
    <w:rsid w:val="00D92D0E"/>
    <w:rsid w:val="00D92E71"/>
    <w:rsid w:val="00D93275"/>
    <w:rsid w:val="00D93384"/>
    <w:rsid w:val="00D9384F"/>
    <w:rsid w:val="00D93E67"/>
    <w:rsid w:val="00D94376"/>
    <w:rsid w:val="00D9456E"/>
    <w:rsid w:val="00D9503C"/>
    <w:rsid w:val="00D95630"/>
    <w:rsid w:val="00D9590C"/>
    <w:rsid w:val="00D95F08"/>
    <w:rsid w:val="00D967E1"/>
    <w:rsid w:val="00D96DAC"/>
    <w:rsid w:val="00D97E68"/>
    <w:rsid w:val="00DA0ABA"/>
    <w:rsid w:val="00DA1128"/>
    <w:rsid w:val="00DA21CF"/>
    <w:rsid w:val="00DA3E72"/>
    <w:rsid w:val="00DA431A"/>
    <w:rsid w:val="00DA5307"/>
    <w:rsid w:val="00DA65AD"/>
    <w:rsid w:val="00DA78B4"/>
    <w:rsid w:val="00DB0257"/>
    <w:rsid w:val="00DB0646"/>
    <w:rsid w:val="00DB09DB"/>
    <w:rsid w:val="00DB19A1"/>
    <w:rsid w:val="00DB4246"/>
    <w:rsid w:val="00DB43AA"/>
    <w:rsid w:val="00DB5BC3"/>
    <w:rsid w:val="00DB5CCF"/>
    <w:rsid w:val="00DB5E1E"/>
    <w:rsid w:val="00DB6BF2"/>
    <w:rsid w:val="00DB6F1C"/>
    <w:rsid w:val="00DC00DB"/>
    <w:rsid w:val="00DC0BC0"/>
    <w:rsid w:val="00DC132C"/>
    <w:rsid w:val="00DC2715"/>
    <w:rsid w:val="00DC2CE0"/>
    <w:rsid w:val="00DC3161"/>
    <w:rsid w:val="00DC3F51"/>
    <w:rsid w:val="00DC49D0"/>
    <w:rsid w:val="00DC4B80"/>
    <w:rsid w:val="00DC4EE0"/>
    <w:rsid w:val="00DC5598"/>
    <w:rsid w:val="00DC5A64"/>
    <w:rsid w:val="00DC5B93"/>
    <w:rsid w:val="00DC5F5E"/>
    <w:rsid w:val="00DC7479"/>
    <w:rsid w:val="00DC760A"/>
    <w:rsid w:val="00DC7716"/>
    <w:rsid w:val="00DD0556"/>
    <w:rsid w:val="00DD2815"/>
    <w:rsid w:val="00DD2CD1"/>
    <w:rsid w:val="00DD2F95"/>
    <w:rsid w:val="00DD325B"/>
    <w:rsid w:val="00DD3722"/>
    <w:rsid w:val="00DD46CC"/>
    <w:rsid w:val="00DD497A"/>
    <w:rsid w:val="00DD52EC"/>
    <w:rsid w:val="00DD54C1"/>
    <w:rsid w:val="00DD5BA9"/>
    <w:rsid w:val="00DD69D6"/>
    <w:rsid w:val="00DD6B97"/>
    <w:rsid w:val="00DD711E"/>
    <w:rsid w:val="00DE027C"/>
    <w:rsid w:val="00DE056E"/>
    <w:rsid w:val="00DE09DB"/>
    <w:rsid w:val="00DE1106"/>
    <w:rsid w:val="00DE165E"/>
    <w:rsid w:val="00DE1777"/>
    <w:rsid w:val="00DE188F"/>
    <w:rsid w:val="00DE21D6"/>
    <w:rsid w:val="00DE29D7"/>
    <w:rsid w:val="00DE2F7D"/>
    <w:rsid w:val="00DE2FEA"/>
    <w:rsid w:val="00DE338A"/>
    <w:rsid w:val="00DE37AD"/>
    <w:rsid w:val="00DE3C87"/>
    <w:rsid w:val="00DE45AD"/>
    <w:rsid w:val="00DE4974"/>
    <w:rsid w:val="00DE531C"/>
    <w:rsid w:val="00DE5765"/>
    <w:rsid w:val="00DE57D9"/>
    <w:rsid w:val="00DE6C0C"/>
    <w:rsid w:val="00DE73F0"/>
    <w:rsid w:val="00DE7C3B"/>
    <w:rsid w:val="00DF073F"/>
    <w:rsid w:val="00DF1F92"/>
    <w:rsid w:val="00DF3D35"/>
    <w:rsid w:val="00DF4404"/>
    <w:rsid w:val="00DF53FC"/>
    <w:rsid w:val="00DF5672"/>
    <w:rsid w:val="00DF56A5"/>
    <w:rsid w:val="00DF70F6"/>
    <w:rsid w:val="00DF7199"/>
    <w:rsid w:val="00DF79C2"/>
    <w:rsid w:val="00E0030F"/>
    <w:rsid w:val="00E00B39"/>
    <w:rsid w:val="00E00CEE"/>
    <w:rsid w:val="00E00E51"/>
    <w:rsid w:val="00E01BDB"/>
    <w:rsid w:val="00E02179"/>
    <w:rsid w:val="00E02656"/>
    <w:rsid w:val="00E02777"/>
    <w:rsid w:val="00E02F49"/>
    <w:rsid w:val="00E0447B"/>
    <w:rsid w:val="00E0567D"/>
    <w:rsid w:val="00E05750"/>
    <w:rsid w:val="00E075F4"/>
    <w:rsid w:val="00E07773"/>
    <w:rsid w:val="00E07C72"/>
    <w:rsid w:val="00E11C74"/>
    <w:rsid w:val="00E12443"/>
    <w:rsid w:val="00E12CDE"/>
    <w:rsid w:val="00E13305"/>
    <w:rsid w:val="00E13898"/>
    <w:rsid w:val="00E13990"/>
    <w:rsid w:val="00E147C4"/>
    <w:rsid w:val="00E14984"/>
    <w:rsid w:val="00E14CFB"/>
    <w:rsid w:val="00E14D01"/>
    <w:rsid w:val="00E14E50"/>
    <w:rsid w:val="00E15986"/>
    <w:rsid w:val="00E15F96"/>
    <w:rsid w:val="00E15FB4"/>
    <w:rsid w:val="00E16CD5"/>
    <w:rsid w:val="00E16D1A"/>
    <w:rsid w:val="00E16D8B"/>
    <w:rsid w:val="00E17790"/>
    <w:rsid w:val="00E20B90"/>
    <w:rsid w:val="00E2215A"/>
    <w:rsid w:val="00E22C7B"/>
    <w:rsid w:val="00E2327B"/>
    <w:rsid w:val="00E2410C"/>
    <w:rsid w:val="00E242DA"/>
    <w:rsid w:val="00E24DD9"/>
    <w:rsid w:val="00E251C5"/>
    <w:rsid w:val="00E25888"/>
    <w:rsid w:val="00E26BF1"/>
    <w:rsid w:val="00E27000"/>
    <w:rsid w:val="00E3042C"/>
    <w:rsid w:val="00E314EE"/>
    <w:rsid w:val="00E3192E"/>
    <w:rsid w:val="00E31BD3"/>
    <w:rsid w:val="00E31EDD"/>
    <w:rsid w:val="00E3273A"/>
    <w:rsid w:val="00E32815"/>
    <w:rsid w:val="00E3533A"/>
    <w:rsid w:val="00E354DB"/>
    <w:rsid w:val="00E3567F"/>
    <w:rsid w:val="00E377FF"/>
    <w:rsid w:val="00E37939"/>
    <w:rsid w:val="00E40176"/>
    <w:rsid w:val="00E40790"/>
    <w:rsid w:val="00E409B7"/>
    <w:rsid w:val="00E413C1"/>
    <w:rsid w:val="00E424CE"/>
    <w:rsid w:val="00E42537"/>
    <w:rsid w:val="00E4295B"/>
    <w:rsid w:val="00E43A06"/>
    <w:rsid w:val="00E440F7"/>
    <w:rsid w:val="00E44B5E"/>
    <w:rsid w:val="00E45097"/>
    <w:rsid w:val="00E45F31"/>
    <w:rsid w:val="00E45F40"/>
    <w:rsid w:val="00E46877"/>
    <w:rsid w:val="00E47138"/>
    <w:rsid w:val="00E471D3"/>
    <w:rsid w:val="00E47EF9"/>
    <w:rsid w:val="00E50230"/>
    <w:rsid w:val="00E50917"/>
    <w:rsid w:val="00E50B94"/>
    <w:rsid w:val="00E52354"/>
    <w:rsid w:val="00E52656"/>
    <w:rsid w:val="00E527A8"/>
    <w:rsid w:val="00E528EB"/>
    <w:rsid w:val="00E52CBE"/>
    <w:rsid w:val="00E534F6"/>
    <w:rsid w:val="00E535BC"/>
    <w:rsid w:val="00E5379D"/>
    <w:rsid w:val="00E552AC"/>
    <w:rsid w:val="00E55313"/>
    <w:rsid w:val="00E553F7"/>
    <w:rsid w:val="00E5571A"/>
    <w:rsid w:val="00E55A88"/>
    <w:rsid w:val="00E55E9D"/>
    <w:rsid w:val="00E56381"/>
    <w:rsid w:val="00E568D7"/>
    <w:rsid w:val="00E6152A"/>
    <w:rsid w:val="00E61B7F"/>
    <w:rsid w:val="00E61DEC"/>
    <w:rsid w:val="00E6218E"/>
    <w:rsid w:val="00E62FD4"/>
    <w:rsid w:val="00E633BE"/>
    <w:rsid w:val="00E64139"/>
    <w:rsid w:val="00E64823"/>
    <w:rsid w:val="00E6676D"/>
    <w:rsid w:val="00E66853"/>
    <w:rsid w:val="00E66D86"/>
    <w:rsid w:val="00E70730"/>
    <w:rsid w:val="00E7148F"/>
    <w:rsid w:val="00E72E45"/>
    <w:rsid w:val="00E73C2D"/>
    <w:rsid w:val="00E73D41"/>
    <w:rsid w:val="00E74674"/>
    <w:rsid w:val="00E74EE2"/>
    <w:rsid w:val="00E76A53"/>
    <w:rsid w:val="00E77123"/>
    <w:rsid w:val="00E7758E"/>
    <w:rsid w:val="00E77D44"/>
    <w:rsid w:val="00E803D8"/>
    <w:rsid w:val="00E805DE"/>
    <w:rsid w:val="00E80F88"/>
    <w:rsid w:val="00E820F4"/>
    <w:rsid w:val="00E8268F"/>
    <w:rsid w:val="00E82A6A"/>
    <w:rsid w:val="00E82B34"/>
    <w:rsid w:val="00E833D6"/>
    <w:rsid w:val="00E8444A"/>
    <w:rsid w:val="00E84C5A"/>
    <w:rsid w:val="00E84E04"/>
    <w:rsid w:val="00E856AF"/>
    <w:rsid w:val="00E86242"/>
    <w:rsid w:val="00E86575"/>
    <w:rsid w:val="00E90362"/>
    <w:rsid w:val="00E91950"/>
    <w:rsid w:val="00E926A6"/>
    <w:rsid w:val="00E92DA5"/>
    <w:rsid w:val="00E9347C"/>
    <w:rsid w:val="00E968C3"/>
    <w:rsid w:val="00E96AD4"/>
    <w:rsid w:val="00E96E09"/>
    <w:rsid w:val="00EA0B11"/>
    <w:rsid w:val="00EA0B5F"/>
    <w:rsid w:val="00EA0F39"/>
    <w:rsid w:val="00EA211C"/>
    <w:rsid w:val="00EA268E"/>
    <w:rsid w:val="00EA2B2E"/>
    <w:rsid w:val="00EA2DA9"/>
    <w:rsid w:val="00EA378E"/>
    <w:rsid w:val="00EA3E4F"/>
    <w:rsid w:val="00EA4586"/>
    <w:rsid w:val="00EA4715"/>
    <w:rsid w:val="00EA6071"/>
    <w:rsid w:val="00EA7078"/>
    <w:rsid w:val="00EA7B3F"/>
    <w:rsid w:val="00EA7FEE"/>
    <w:rsid w:val="00EB01E5"/>
    <w:rsid w:val="00EB0245"/>
    <w:rsid w:val="00EB04BA"/>
    <w:rsid w:val="00EB04C4"/>
    <w:rsid w:val="00EB0733"/>
    <w:rsid w:val="00EB0DC6"/>
    <w:rsid w:val="00EB1520"/>
    <w:rsid w:val="00EB1A6A"/>
    <w:rsid w:val="00EB1A73"/>
    <w:rsid w:val="00EB1AB9"/>
    <w:rsid w:val="00EB1F28"/>
    <w:rsid w:val="00EB4499"/>
    <w:rsid w:val="00EB45AA"/>
    <w:rsid w:val="00EB505E"/>
    <w:rsid w:val="00EB50B1"/>
    <w:rsid w:val="00EB50BC"/>
    <w:rsid w:val="00EB58EE"/>
    <w:rsid w:val="00EB5CB3"/>
    <w:rsid w:val="00EB689B"/>
    <w:rsid w:val="00EB6B2E"/>
    <w:rsid w:val="00EB6D3D"/>
    <w:rsid w:val="00EC02F7"/>
    <w:rsid w:val="00EC0566"/>
    <w:rsid w:val="00EC06BB"/>
    <w:rsid w:val="00EC080E"/>
    <w:rsid w:val="00EC0926"/>
    <w:rsid w:val="00EC0E38"/>
    <w:rsid w:val="00EC0EC2"/>
    <w:rsid w:val="00EC0F98"/>
    <w:rsid w:val="00EC103F"/>
    <w:rsid w:val="00EC195E"/>
    <w:rsid w:val="00EC3627"/>
    <w:rsid w:val="00EC3765"/>
    <w:rsid w:val="00EC39F5"/>
    <w:rsid w:val="00EC3E89"/>
    <w:rsid w:val="00EC520E"/>
    <w:rsid w:val="00EC5C40"/>
    <w:rsid w:val="00ED0603"/>
    <w:rsid w:val="00ED0939"/>
    <w:rsid w:val="00ED0CAF"/>
    <w:rsid w:val="00ED109E"/>
    <w:rsid w:val="00ED1FB4"/>
    <w:rsid w:val="00ED22CE"/>
    <w:rsid w:val="00ED2B18"/>
    <w:rsid w:val="00ED2F5D"/>
    <w:rsid w:val="00ED3003"/>
    <w:rsid w:val="00ED4377"/>
    <w:rsid w:val="00ED438E"/>
    <w:rsid w:val="00ED49AF"/>
    <w:rsid w:val="00ED58F5"/>
    <w:rsid w:val="00ED62BC"/>
    <w:rsid w:val="00ED6513"/>
    <w:rsid w:val="00ED664B"/>
    <w:rsid w:val="00ED6743"/>
    <w:rsid w:val="00ED6EBC"/>
    <w:rsid w:val="00ED70BD"/>
    <w:rsid w:val="00ED718C"/>
    <w:rsid w:val="00ED7810"/>
    <w:rsid w:val="00EE03CE"/>
    <w:rsid w:val="00EE0BE6"/>
    <w:rsid w:val="00EE1192"/>
    <w:rsid w:val="00EE1702"/>
    <w:rsid w:val="00EE25B3"/>
    <w:rsid w:val="00EE312D"/>
    <w:rsid w:val="00EE3CD1"/>
    <w:rsid w:val="00EE57A7"/>
    <w:rsid w:val="00EE5A46"/>
    <w:rsid w:val="00EE62A1"/>
    <w:rsid w:val="00EE6380"/>
    <w:rsid w:val="00EE665F"/>
    <w:rsid w:val="00EF0E01"/>
    <w:rsid w:val="00EF18B7"/>
    <w:rsid w:val="00EF36B4"/>
    <w:rsid w:val="00EF3AA4"/>
    <w:rsid w:val="00EF4160"/>
    <w:rsid w:val="00EF461D"/>
    <w:rsid w:val="00EF498F"/>
    <w:rsid w:val="00EF4ADA"/>
    <w:rsid w:val="00EF4EC5"/>
    <w:rsid w:val="00EF5E03"/>
    <w:rsid w:val="00EF5E76"/>
    <w:rsid w:val="00EF61AC"/>
    <w:rsid w:val="00EF6408"/>
    <w:rsid w:val="00EF6E19"/>
    <w:rsid w:val="00EF771B"/>
    <w:rsid w:val="00EF7D05"/>
    <w:rsid w:val="00F01702"/>
    <w:rsid w:val="00F01728"/>
    <w:rsid w:val="00F018A2"/>
    <w:rsid w:val="00F0235C"/>
    <w:rsid w:val="00F02981"/>
    <w:rsid w:val="00F02D82"/>
    <w:rsid w:val="00F02FF9"/>
    <w:rsid w:val="00F032DF"/>
    <w:rsid w:val="00F037E8"/>
    <w:rsid w:val="00F03DD8"/>
    <w:rsid w:val="00F03EA1"/>
    <w:rsid w:val="00F043F9"/>
    <w:rsid w:val="00F04B52"/>
    <w:rsid w:val="00F06423"/>
    <w:rsid w:val="00F0647F"/>
    <w:rsid w:val="00F06BED"/>
    <w:rsid w:val="00F06ED0"/>
    <w:rsid w:val="00F07BBC"/>
    <w:rsid w:val="00F1042F"/>
    <w:rsid w:val="00F10FBF"/>
    <w:rsid w:val="00F11251"/>
    <w:rsid w:val="00F12D60"/>
    <w:rsid w:val="00F16C71"/>
    <w:rsid w:val="00F17F69"/>
    <w:rsid w:val="00F202D0"/>
    <w:rsid w:val="00F219EE"/>
    <w:rsid w:val="00F21B2F"/>
    <w:rsid w:val="00F22609"/>
    <w:rsid w:val="00F23B5D"/>
    <w:rsid w:val="00F26397"/>
    <w:rsid w:val="00F2652B"/>
    <w:rsid w:val="00F26A57"/>
    <w:rsid w:val="00F317CA"/>
    <w:rsid w:val="00F3198E"/>
    <w:rsid w:val="00F32595"/>
    <w:rsid w:val="00F33075"/>
    <w:rsid w:val="00F33C5C"/>
    <w:rsid w:val="00F33EE4"/>
    <w:rsid w:val="00F33F73"/>
    <w:rsid w:val="00F3469B"/>
    <w:rsid w:val="00F346A7"/>
    <w:rsid w:val="00F365C5"/>
    <w:rsid w:val="00F36A2A"/>
    <w:rsid w:val="00F36C47"/>
    <w:rsid w:val="00F40AAD"/>
    <w:rsid w:val="00F40BD9"/>
    <w:rsid w:val="00F417EA"/>
    <w:rsid w:val="00F41FD9"/>
    <w:rsid w:val="00F42A64"/>
    <w:rsid w:val="00F42BB7"/>
    <w:rsid w:val="00F42F97"/>
    <w:rsid w:val="00F43285"/>
    <w:rsid w:val="00F4345C"/>
    <w:rsid w:val="00F4495C"/>
    <w:rsid w:val="00F4495E"/>
    <w:rsid w:val="00F45BDF"/>
    <w:rsid w:val="00F462AA"/>
    <w:rsid w:val="00F4653A"/>
    <w:rsid w:val="00F47B53"/>
    <w:rsid w:val="00F47D8A"/>
    <w:rsid w:val="00F500B2"/>
    <w:rsid w:val="00F502C5"/>
    <w:rsid w:val="00F511C7"/>
    <w:rsid w:val="00F515D4"/>
    <w:rsid w:val="00F522BF"/>
    <w:rsid w:val="00F539F6"/>
    <w:rsid w:val="00F53BE2"/>
    <w:rsid w:val="00F53F21"/>
    <w:rsid w:val="00F559F8"/>
    <w:rsid w:val="00F56F10"/>
    <w:rsid w:val="00F57208"/>
    <w:rsid w:val="00F61870"/>
    <w:rsid w:val="00F61B40"/>
    <w:rsid w:val="00F6222F"/>
    <w:rsid w:val="00F62501"/>
    <w:rsid w:val="00F62599"/>
    <w:rsid w:val="00F627FF"/>
    <w:rsid w:val="00F63691"/>
    <w:rsid w:val="00F63A80"/>
    <w:rsid w:val="00F651A6"/>
    <w:rsid w:val="00F65E10"/>
    <w:rsid w:val="00F66BC1"/>
    <w:rsid w:val="00F66C35"/>
    <w:rsid w:val="00F672E7"/>
    <w:rsid w:val="00F70B2D"/>
    <w:rsid w:val="00F724FB"/>
    <w:rsid w:val="00F7385F"/>
    <w:rsid w:val="00F74903"/>
    <w:rsid w:val="00F75253"/>
    <w:rsid w:val="00F75894"/>
    <w:rsid w:val="00F75A29"/>
    <w:rsid w:val="00F75DAF"/>
    <w:rsid w:val="00F761B8"/>
    <w:rsid w:val="00F76A21"/>
    <w:rsid w:val="00F80CB7"/>
    <w:rsid w:val="00F80ED5"/>
    <w:rsid w:val="00F8106D"/>
    <w:rsid w:val="00F81931"/>
    <w:rsid w:val="00F82415"/>
    <w:rsid w:val="00F827BC"/>
    <w:rsid w:val="00F82A7D"/>
    <w:rsid w:val="00F82CC9"/>
    <w:rsid w:val="00F835EE"/>
    <w:rsid w:val="00F8406B"/>
    <w:rsid w:val="00F842B2"/>
    <w:rsid w:val="00F85BBE"/>
    <w:rsid w:val="00F86F31"/>
    <w:rsid w:val="00F870BA"/>
    <w:rsid w:val="00F87140"/>
    <w:rsid w:val="00F87DF2"/>
    <w:rsid w:val="00F9000A"/>
    <w:rsid w:val="00F9081A"/>
    <w:rsid w:val="00F91505"/>
    <w:rsid w:val="00F91534"/>
    <w:rsid w:val="00F932AA"/>
    <w:rsid w:val="00FA001A"/>
    <w:rsid w:val="00FA0496"/>
    <w:rsid w:val="00FA071F"/>
    <w:rsid w:val="00FA0AAE"/>
    <w:rsid w:val="00FA0EC3"/>
    <w:rsid w:val="00FA11DF"/>
    <w:rsid w:val="00FA13D3"/>
    <w:rsid w:val="00FA1639"/>
    <w:rsid w:val="00FA18AE"/>
    <w:rsid w:val="00FA1DE6"/>
    <w:rsid w:val="00FA21C5"/>
    <w:rsid w:val="00FA2593"/>
    <w:rsid w:val="00FA472D"/>
    <w:rsid w:val="00FA48D7"/>
    <w:rsid w:val="00FA4F21"/>
    <w:rsid w:val="00FA51DE"/>
    <w:rsid w:val="00FA55A6"/>
    <w:rsid w:val="00FA5A1C"/>
    <w:rsid w:val="00FA5D4E"/>
    <w:rsid w:val="00FA653F"/>
    <w:rsid w:val="00FA6EB2"/>
    <w:rsid w:val="00FA76A9"/>
    <w:rsid w:val="00FB02AC"/>
    <w:rsid w:val="00FB0F07"/>
    <w:rsid w:val="00FB0FE3"/>
    <w:rsid w:val="00FB1278"/>
    <w:rsid w:val="00FB1773"/>
    <w:rsid w:val="00FB1CFB"/>
    <w:rsid w:val="00FB1EC6"/>
    <w:rsid w:val="00FB2028"/>
    <w:rsid w:val="00FB380F"/>
    <w:rsid w:val="00FB489A"/>
    <w:rsid w:val="00FB5636"/>
    <w:rsid w:val="00FB5F1A"/>
    <w:rsid w:val="00FB6107"/>
    <w:rsid w:val="00FB649E"/>
    <w:rsid w:val="00FB7F64"/>
    <w:rsid w:val="00FC0105"/>
    <w:rsid w:val="00FC09D8"/>
    <w:rsid w:val="00FC0D8E"/>
    <w:rsid w:val="00FC137D"/>
    <w:rsid w:val="00FC37F5"/>
    <w:rsid w:val="00FC3905"/>
    <w:rsid w:val="00FC5BB6"/>
    <w:rsid w:val="00FC6BA2"/>
    <w:rsid w:val="00FC7742"/>
    <w:rsid w:val="00FC7C15"/>
    <w:rsid w:val="00FD212E"/>
    <w:rsid w:val="00FD3116"/>
    <w:rsid w:val="00FD3D59"/>
    <w:rsid w:val="00FD4FA1"/>
    <w:rsid w:val="00FD5B61"/>
    <w:rsid w:val="00FD5DAA"/>
    <w:rsid w:val="00FD6272"/>
    <w:rsid w:val="00FD696A"/>
    <w:rsid w:val="00FD7217"/>
    <w:rsid w:val="00FD73E5"/>
    <w:rsid w:val="00FD740C"/>
    <w:rsid w:val="00FE0926"/>
    <w:rsid w:val="00FE2C94"/>
    <w:rsid w:val="00FE3628"/>
    <w:rsid w:val="00FE40E9"/>
    <w:rsid w:val="00FE45E7"/>
    <w:rsid w:val="00FE46EB"/>
    <w:rsid w:val="00FE538D"/>
    <w:rsid w:val="00FE69A6"/>
    <w:rsid w:val="00FE764A"/>
    <w:rsid w:val="00FE7F53"/>
    <w:rsid w:val="00FF0B91"/>
    <w:rsid w:val="00FF0C60"/>
    <w:rsid w:val="00FF1E2A"/>
    <w:rsid w:val="00FF2C43"/>
    <w:rsid w:val="00FF2F3D"/>
    <w:rsid w:val="00FF3191"/>
    <w:rsid w:val="00FF32A2"/>
    <w:rsid w:val="00FF3A94"/>
    <w:rsid w:val="00FF4510"/>
    <w:rsid w:val="00FF5435"/>
    <w:rsid w:val="00FF59AF"/>
    <w:rsid w:val="00FF5B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9126DB0"/>
  <w15:docId w15:val="{EBB19ACE-78DF-4A7A-A12F-4A766BA8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Verdana" w:eastAsia="Verdana" w:hAnsi="Verdana" w:cs="Verdana"/>
      <w:lang w:val="it-IT"/>
    </w:rPr>
  </w:style>
  <w:style w:type="paragraph" w:styleId="Titolo1">
    <w:name w:val="heading 1"/>
    <w:basedOn w:val="Normale"/>
    <w:next w:val="Normale"/>
    <w:link w:val="Titolo1Carattere"/>
    <w:uiPriority w:val="9"/>
    <w:qFormat/>
    <w:rsid w:val="00BB0440"/>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BB0440"/>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BB0440"/>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BB0440"/>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BB0440"/>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BB0440"/>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semiHidden/>
    <w:unhideWhenUsed/>
    <w:qFormat/>
    <w:rsid w:val="00BB0440"/>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BB044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BB044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DD325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D325B"/>
    <w:rPr>
      <w:rFonts w:ascii="Segoe UI" w:eastAsia="Verdana" w:hAnsi="Segoe UI" w:cs="Segoe UI"/>
      <w:sz w:val="18"/>
      <w:szCs w:val="18"/>
      <w:lang w:val="it-IT"/>
    </w:rPr>
  </w:style>
  <w:style w:type="paragraph" w:styleId="Intestazione">
    <w:name w:val="header"/>
    <w:basedOn w:val="Normale"/>
    <w:link w:val="IntestazioneCarattere"/>
    <w:uiPriority w:val="99"/>
    <w:unhideWhenUsed/>
    <w:rsid w:val="00D721BE"/>
    <w:pPr>
      <w:tabs>
        <w:tab w:val="center" w:pos="4819"/>
        <w:tab w:val="right" w:pos="9638"/>
      </w:tabs>
    </w:pPr>
  </w:style>
  <w:style w:type="character" w:customStyle="1" w:styleId="IntestazioneCarattere">
    <w:name w:val="Intestazione Carattere"/>
    <w:basedOn w:val="Carpredefinitoparagrafo"/>
    <w:link w:val="Intestazione"/>
    <w:uiPriority w:val="99"/>
    <w:rsid w:val="00D721BE"/>
    <w:rPr>
      <w:rFonts w:ascii="Verdana" w:eastAsia="Verdana" w:hAnsi="Verdana" w:cs="Verdana"/>
      <w:lang w:val="it-IT"/>
    </w:rPr>
  </w:style>
  <w:style w:type="paragraph" w:styleId="Pidipagina">
    <w:name w:val="footer"/>
    <w:basedOn w:val="Normale"/>
    <w:link w:val="PidipaginaCarattere"/>
    <w:uiPriority w:val="99"/>
    <w:unhideWhenUsed/>
    <w:rsid w:val="00D721BE"/>
    <w:pPr>
      <w:tabs>
        <w:tab w:val="center" w:pos="4819"/>
        <w:tab w:val="right" w:pos="9638"/>
      </w:tabs>
    </w:pPr>
  </w:style>
  <w:style w:type="character" w:customStyle="1" w:styleId="PidipaginaCarattere">
    <w:name w:val="Piè di pagina Carattere"/>
    <w:basedOn w:val="Carpredefinitoparagrafo"/>
    <w:link w:val="Pidipagina"/>
    <w:uiPriority w:val="99"/>
    <w:rsid w:val="00D721BE"/>
    <w:rPr>
      <w:rFonts w:ascii="Verdana" w:eastAsia="Verdana" w:hAnsi="Verdana" w:cs="Verdana"/>
      <w:lang w:val="it-IT"/>
    </w:rPr>
  </w:style>
  <w:style w:type="character" w:customStyle="1" w:styleId="Titolo1Carattere">
    <w:name w:val="Titolo 1 Carattere"/>
    <w:basedOn w:val="Carpredefinitoparagrafo"/>
    <w:link w:val="Titolo1"/>
    <w:uiPriority w:val="9"/>
    <w:rsid w:val="00BB0440"/>
    <w:rPr>
      <w:rFonts w:asciiTheme="majorHAnsi" w:eastAsiaTheme="majorEastAsia" w:hAnsiTheme="majorHAnsi" w:cstheme="majorBidi"/>
      <w:color w:val="365F91" w:themeColor="accent1" w:themeShade="BF"/>
      <w:sz w:val="32"/>
      <w:szCs w:val="32"/>
      <w:lang w:val="it-IT"/>
    </w:rPr>
  </w:style>
  <w:style w:type="character" w:customStyle="1" w:styleId="Titolo2Carattere">
    <w:name w:val="Titolo 2 Carattere"/>
    <w:basedOn w:val="Carpredefinitoparagrafo"/>
    <w:link w:val="Titolo2"/>
    <w:uiPriority w:val="9"/>
    <w:rsid w:val="00BB0440"/>
    <w:rPr>
      <w:rFonts w:asciiTheme="majorHAnsi" w:eastAsiaTheme="majorEastAsia" w:hAnsiTheme="majorHAnsi" w:cstheme="majorBidi"/>
      <w:color w:val="365F91" w:themeColor="accent1" w:themeShade="BF"/>
      <w:sz w:val="26"/>
      <w:szCs w:val="26"/>
      <w:lang w:val="it-IT"/>
    </w:rPr>
  </w:style>
  <w:style w:type="character" w:customStyle="1" w:styleId="Titolo3Carattere">
    <w:name w:val="Titolo 3 Carattere"/>
    <w:basedOn w:val="Carpredefinitoparagrafo"/>
    <w:link w:val="Titolo3"/>
    <w:uiPriority w:val="9"/>
    <w:semiHidden/>
    <w:rsid w:val="00BB0440"/>
    <w:rPr>
      <w:rFonts w:asciiTheme="majorHAnsi" w:eastAsiaTheme="majorEastAsia" w:hAnsiTheme="majorHAnsi" w:cstheme="majorBidi"/>
      <w:color w:val="243F60" w:themeColor="accent1" w:themeShade="7F"/>
      <w:sz w:val="24"/>
      <w:szCs w:val="24"/>
      <w:lang w:val="it-IT"/>
    </w:rPr>
  </w:style>
  <w:style w:type="character" w:customStyle="1" w:styleId="Titolo4Carattere">
    <w:name w:val="Titolo 4 Carattere"/>
    <w:basedOn w:val="Carpredefinitoparagrafo"/>
    <w:link w:val="Titolo4"/>
    <w:uiPriority w:val="9"/>
    <w:semiHidden/>
    <w:rsid w:val="00BB0440"/>
    <w:rPr>
      <w:rFonts w:asciiTheme="majorHAnsi" w:eastAsiaTheme="majorEastAsia" w:hAnsiTheme="majorHAnsi" w:cstheme="majorBidi"/>
      <w:i/>
      <w:iCs/>
      <w:color w:val="365F91" w:themeColor="accent1" w:themeShade="BF"/>
      <w:lang w:val="it-IT"/>
    </w:rPr>
  </w:style>
  <w:style w:type="character" w:customStyle="1" w:styleId="Titolo5Carattere">
    <w:name w:val="Titolo 5 Carattere"/>
    <w:basedOn w:val="Carpredefinitoparagrafo"/>
    <w:link w:val="Titolo5"/>
    <w:uiPriority w:val="9"/>
    <w:semiHidden/>
    <w:rsid w:val="00BB0440"/>
    <w:rPr>
      <w:rFonts w:asciiTheme="majorHAnsi" w:eastAsiaTheme="majorEastAsia" w:hAnsiTheme="majorHAnsi" w:cstheme="majorBidi"/>
      <w:color w:val="365F91" w:themeColor="accent1" w:themeShade="BF"/>
      <w:lang w:val="it-IT"/>
    </w:rPr>
  </w:style>
  <w:style w:type="character" w:customStyle="1" w:styleId="Titolo6Carattere">
    <w:name w:val="Titolo 6 Carattere"/>
    <w:basedOn w:val="Carpredefinitoparagrafo"/>
    <w:link w:val="Titolo6"/>
    <w:uiPriority w:val="9"/>
    <w:semiHidden/>
    <w:rsid w:val="00BB0440"/>
    <w:rPr>
      <w:rFonts w:asciiTheme="majorHAnsi" w:eastAsiaTheme="majorEastAsia" w:hAnsiTheme="majorHAnsi" w:cstheme="majorBidi"/>
      <w:color w:val="243F60" w:themeColor="accent1" w:themeShade="7F"/>
      <w:lang w:val="it-IT"/>
    </w:rPr>
  </w:style>
  <w:style w:type="character" w:customStyle="1" w:styleId="Titolo7Carattere">
    <w:name w:val="Titolo 7 Carattere"/>
    <w:basedOn w:val="Carpredefinitoparagrafo"/>
    <w:link w:val="Titolo7"/>
    <w:uiPriority w:val="9"/>
    <w:semiHidden/>
    <w:rsid w:val="00BB0440"/>
    <w:rPr>
      <w:rFonts w:asciiTheme="majorHAnsi" w:eastAsiaTheme="majorEastAsia" w:hAnsiTheme="majorHAnsi" w:cstheme="majorBidi"/>
      <w:i/>
      <w:iCs/>
      <w:color w:val="243F60" w:themeColor="accent1" w:themeShade="7F"/>
      <w:lang w:val="it-IT"/>
    </w:rPr>
  </w:style>
  <w:style w:type="character" w:customStyle="1" w:styleId="Titolo8Carattere">
    <w:name w:val="Titolo 8 Carattere"/>
    <w:basedOn w:val="Carpredefinitoparagrafo"/>
    <w:link w:val="Titolo8"/>
    <w:uiPriority w:val="9"/>
    <w:semiHidden/>
    <w:rsid w:val="00BB0440"/>
    <w:rPr>
      <w:rFonts w:asciiTheme="majorHAnsi" w:eastAsiaTheme="majorEastAsia" w:hAnsiTheme="majorHAnsi" w:cstheme="majorBidi"/>
      <w:color w:val="272727" w:themeColor="text1" w:themeTint="D8"/>
      <w:sz w:val="21"/>
      <w:szCs w:val="21"/>
      <w:lang w:val="it-IT"/>
    </w:rPr>
  </w:style>
  <w:style w:type="character" w:customStyle="1" w:styleId="Titolo9Carattere">
    <w:name w:val="Titolo 9 Carattere"/>
    <w:basedOn w:val="Carpredefinitoparagrafo"/>
    <w:link w:val="Titolo9"/>
    <w:uiPriority w:val="9"/>
    <w:semiHidden/>
    <w:rsid w:val="00BB0440"/>
    <w:rPr>
      <w:rFonts w:asciiTheme="majorHAnsi" w:eastAsiaTheme="majorEastAsia" w:hAnsiTheme="majorHAnsi" w:cstheme="majorBidi"/>
      <w:i/>
      <w:iCs/>
      <w:color w:val="272727" w:themeColor="text1" w:themeTint="D8"/>
      <w:sz w:val="21"/>
      <w:szCs w:val="21"/>
      <w:lang w:val="it-IT"/>
    </w:rPr>
  </w:style>
  <w:style w:type="paragraph" w:styleId="Testonotaapidipagina">
    <w:name w:val="footnote text"/>
    <w:basedOn w:val="Normale"/>
    <w:link w:val="TestonotaapidipaginaCarattere"/>
    <w:uiPriority w:val="99"/>
    <w:semiHidden/>
    <w:unhideWhenUsed/>
    <w:rsid w:val="00D95630"/>
    <w:rPr>
      <w:sz w:val="20"/>
      <w:szCs w:val="20"/>
    </w:rPr>
  </w:style>
  <w:style w:type="character" w:customStyle="1" w:styleId="TestonotaapidipaginaCarattere">
    <w:name w:val="Testo nota a piè di pagina Carattere"/>
    <w:basedOn w:val="Carpredefinitoparagrafo"/>
    <w:link w:val="Testonotaapidipagina"/>
    <w:uiPriority w:val="99"/>
    <w:semiHidden/>
    <w:rsid w:val="00D95630"/>
    <w:rPr>
      <w:rFonts w:ascii="Verdana" w:eastAsia="Verdana" w:hAnsi="Verdana" w:cs="Verdana"/>
      <w:sz w:val="20"/>
      <w:szCs w:val="20"/>
      <w:lang w:val="it-IT"/>
    </w:rPr>
  </w:style>
  <w:style w:type="character" w:styleId="Rimandonotaapidipagina">
    <w:name w:val="footnote reference"/>
    <w:basedOn w:val="Carpredefinitoparagrafo"/>
    <w:uiPriority w:val="99"/>
    <w:semiHidden/>
    <w:unhideWhenUsed/>
    <w:rsid w:val="00D95630"/>
    <w:rPr>
      <w:vertAlign w:val="superscript"/>
    </w:rPr>
  </w:style>
  <w:style w:type="character" w:styleId="Rimandocommento">
    <w:name w:val="annotation reference"/>
    <w:basedOn w:val="Carpredefinitoparagrafo"/>
    <w:uiPriority w:val="99"/>
    <w:semiHidden/>
    <w:unhideWhenUsed/>
    <w:rsid w:val="000D00E0"/>
    <w:rPr>
      <w:sz w:val="16"/>
      <w:szCs w:val="16"/>
    </w:rPr>
  </w:style>
  <w:style w:type="paragraph" w:styleId="Testocommento">
    <w:name w:val="annotation text"/>
    <w:basedOn w:val="Normale"/>
    <w:link w:val="TestocommentoCarattere"/>
    <w:uiPriority w:val="99"/>
    <w:unhideWhenUsed/>
    <w:rsid w:val="000D00E0"/>
    <w:rPr>
      <w:sz w:val="20"/>
      <w:szCs w:val="20"/>
    </w:rPr>
  </w:style>
  <w:style w:type="character" w:customStyle="1" w:styleId="TestocommentoCarattere">
    <w:name w:val="Testo commento Carattere"/>
    <w:basedOn w:val="Carpredefinitoparagrafo"/>
    <w:link w:val="Testocommento"/>
    <w:uiPriority w:val="99"/>
    <w:rsid w:val="000D00E0"/>
    <w:rPr>
      <w:rFonts w:ascii="Verdana" w:eastAsia="Verdana" w:hAnsi="Verdana" w:cs="Verdana"/>
      <w:sz w:val="20"/>
      <w:szCs w:val="20"/>
      <w:lang w:val="it-IT"/>
    </w:rPr>
  </w:style>
  <w:style w:type="paragraph" w:styleId="Soggettocommento">
    <w:name w:val="annotation subject"/>
    <w:basedOn w:val="Testocommento"/>
    <w:next w:val="Testocommento"/>
    <w:link w:val="SoggettocommentoCarattere"/>
    <w:uiPriority w:val="99"/>
    <w:semiHidden/>
    <w:unhideWhenUsed/>
    <w:rsid w:val="000D00E0"/>
    <w:rPr>
      <w:b/>
      <w:bCs/>
    </w:rPr>
  </w:style>
  <w:style w:type="character" w:customStyle="1" w:styleId="SoggettocommentoCarattere">
    <w:name w:val="Soggetto commento Carattere"/>
    <w:basedOn w:val="TestocommentoCarattere"/>
    <w:link w:val="Soggettocommento"/>
    <w:uiPriority w:val="99"/>
    <w:semiHidden/>
    <w:rsid w:val="000D00E0"/>
    <w:rPr>
      <w:rFonts w:ascii="Verdana" w:eastAsia="Verdana" w:hAnsi="Verdana" w:cs="Verdana"/>
      <w:b/>
      <w:bCs/>
      <w:sz w:val="20"/>
      <w:szCs w:val="20"/>
      <w:lang w:val="it-IT"/>
    </w:rPr>
  </w:style>
  <w:style w:type="table" w:styleId="Grigliatabella">
    <w:name w:val="Table Grid"/>
    <w:basedOn w:val="Tabellanormale"/>
    <w:uiPriority w:val="39"/>
    <w:rsid w:val="00082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184D"/>
    <w:pPr>
      <w:widowControl/>
      <w:adjustRightInd w:val="0"/>
    </w:pPr>
    <w:rPr>
      <w:rFonts w:ascii="EUAlbertina" w:hAnsi="EUAlbertina" w:cs="EUAlbertina"/>
      <w:color w:val="000000"/>
      <w:sz w:val="24"/>
      <w:szCs w:val="24"/>
      <w:lang w:val="it-IT"/>
    </w:rPr>
  </w:style>
  <w:style w:type="character" w:styleId="Collegamentoipertestuale">
    <w:name w:val="Hyperlink"/>
    <w:basedOn w:val="Carpredefinitoparagrafo"/>
    <w:uiPriority w:val="99"/>
    <w:unhideWhenUsed/>
    <w:rsid w:val="007D0B8E"/>
    <w:rPr>
      <w:color w:val="0000FF" w:themeColor="hyperlink"/>
      <w:u w:val="single"/>
    </w:rPr>
  </w:style>
  <w:style w:type="character" w:styleId="Menzionenonrisolta">
    <w:name w:val="Unresolved Mention"/>
    <w:basedOn w:val="Carpredefinitoparagrafo"/>
    <w:uiPriority w:val="99"/>
    <w:semiHidden/>
    <w:unhideWhenUsed/>
    <w:rsid w:val="007D0B8E"/>
    <w:rPr>
      <w:color w:val="605E5C"/>
      <w:shd w:val="clear" w:color="auto" w:fill="E1DFDD"/>
    </w:rPr>
  </w:style>
  <w:style w:type="paragraph" w:customStyle="1" w:styleId="CM1">
    <w:name w:val="CM1"/>
    <w:basedOn w:val="Default"/>
    <w:next w:val="Default"/>
    <w:uiPriority w:val="99"/>
    <w:rsid w:val="00D13F7A"/>
    <w:rPr>
      <w:rFonts w:cstheme="minorBidi"/>
      <w:color w:val="auto"/>
    </w:rPr>
  </w:style>
  <w:style w:type="paragraph" w:customStyle="1" w:styleId="CM3">
    <w:name w:val="CM3"/>
    <w:basedOn w:val="Default"/>
    <w:next w:val="Default"/>
    <w:uiPriority w:val="99"/>
    <w:rsid w:val="00D13F7A"/>
    <w:rPr>
      <w:rFonts w:cstheme="minorBidi"/>
      <w:color w:val="auto"/>
    </w:rPr>
  </w:style>
  <w:style w:type="paragraph" w:styleId="Titolosommario">
    <w:name w:val="TOC Heading"/>
    <w:basedOn w:val="Titolo1"/>
    <w:next w:val="Normale"/>
    <w:uiPriority w:val="39"/>
    <w:unhideWhenUsed/>
    <w:qFormat/>
    <w:rsid w:val="00942B32"/>
    <w:pPr>
      <w:widowControl/>
      <w:numPr>
        <w:numId w:val="0"/>
      </w:numPr>
      <w:autoSpaceDE/>
      <w:autoSpaceDN/>
      <w:spacing w:line="259" w:lineRule="auto"/>
      <w:outlineLvl w:val="9"/>
    </w:pPr>
    <w:rPr>
      <w:lang w:eastAsia="it-IT"/>
    </w:rPr>
  </w:style>
  <w:style w:type="paragraph" w:styleId="Sommario1">
    <w:name w:val="toc 1"/>
    <w:basedOn w:val="Normale"/>
    <w:next w:val="Normale"/>
    <w:autoRedefine/>
    <w:uiPriority w:val="39"/>
    <w:unhideWhenUsed/>
    <w:rsid w:val="00942B32"/>
    <w:pPr>
      <w:spacing w:after="100"/>
    </w:pPr>
  </w:style>
  <w:style w:type="paragraph" w:styleId="Sommario2">
    <w:name w:val="toc 2"/>
    <w:basedOn w:val="Normale"/>
    <w:next w:val="Normale"/>
    <w:autoRedefine/>
    <w:uiPriority w:val="39"/>
    <w:unhideWhenUsed/>
    <w:rsid w:val="00942B32"/>
    <w:pPr>
      <w:spacing w:after="100"/>
      <w:ind w:left="220"/>
    </w:pPr>
  </w:style>
  <w:style w:type="paragraph" w:styleId="NormaleWeb">
    <w:name w:val="Normal (Web)"/>
    <w:basedOn w:val="Normale"/>
    <w:uiPriority w:val="99"/>
    <w:semiHidden/>
    <w:unhideWhenUsed/>
    <w:rsid w:val="00FA51DE"/>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59562">
      <w:bodyDiv w:val="1"/>
      <w:marLeft w:val="0"/>
      <w:marRight w:val="0"/>
      <w:marTop w:val="0"/>
      <w:marBottom w:val="0"/>
      <w:divBdr>
        <w:top w:val="none" w:sz="0" w:space="0" w:color="auto"/>
        <w:left w:val="none" w:sz="0" w:space="0" w:color="auto"/>
        <w:bottom w:val="none" w:sz="0" w:space="0" w:color="auto"/>
        <w:right w:val="none" w:sz="0" w:space="0" w:color="auto"/>
      </w:divBdr>
      <w:divsChild>
        <w:div w:id="665593039">
          <w:marLeft w:val="547"/>
          <w:marRight w:val="0"/>
          <w:marTop w:val="0"/>
          <w:marBottom w:val="240"/>
          <w:divBdr>
            <w:top w:val="none" w:sz="0" w:space="0" w:color="auto"/>
            <w:left w:val="none" w:sz="0" w:space="0" w:color="auto"/>
            <w:bottom w:val="none" w:sz="0" w:space="0" w:color="auto"/>
            <w:right w:val="none" w:sz="0" w:space="0" w:color="auto"/>
          </w:divBdr>
        </w:div>
        <w:div w:id="92868312">
          <w:marLeft w:val="547"/>
          <w:marRight w:val="0"/>
          <w:marTop w:val="0"/>
          <w:marBottom w:val="240"/>
          <w:divBdr>
            <w:top w:val="none" w:sz="0" w:space="0" w:color="auto"/>
            <w:left w:val="none" w:sz="0" w:space="0" w:color="auto"/>
            <w:bottom w:val="none" w:sz="0" w:space="0" w:color="auto"/>
            <w:right w:val="none" w:sz="0" w:space="0" w:color="auto"/>
          </w:divBdr>
        </w:div>
        <w:div w:id="2100368402">
          <w:marLeft w:val="547"/>
          <w:marRight w:val="0"/>
          <w:marTop w:val="0"/>
          <w:marBottom w:val="240"/>
          <w:divBdr>
            <w:top w:val="none" w:sz="0" w:space="0" w:color="auto"/>
            <w:left w:val="none" w:sz="0" w:space="0" w:color="auto"/>
            <w:bottom w:val="none" w:sz="0" w:space="0" w:color="auto"/>
            <w:right w:val="none" w:sz="0" w:space="0" w:color="auto"/>
          </w:divBdr>
        </w:div>
      </w:divsChild>
    </w:div>
    <w:div w:id="104161753">
      <w:bodyDiv w:val="1"/>
      <w:marLeft w:val="0"/>
      <w:marRight w:val="0"/>
      <w:marTop w:val="0"/>
      <w:marBottom w:val="0"/>
      <w:divBdr>
        <w:top w:val="none" w:sz="0" w:space="0" w:color="auto"/>
        <w:left w:val="none" w:sz="0" w:space="0" w:color="auto"/>
        <w:bottom w:val="none" w:sz="0" w:space="0" w:color="auto"/>
        <w:right w:val="none" w:sz="0" w:space="0" w:color="auto"/>
      </w:divBdr>
      <w:divsChild>
        <w:div w:id="1442650450">
          <w:marLeft w:val="547"/>
          <w:marRight w:val="0"/>
          <w:marTop w:val="0"/>
          <w:marBottom w:val="240"/>
          <w:divBdr>
            <w:top w:val="none" w:sz="0" w:space="0" w:color="auto"/>
            <w:left w:val="none" w:sz="0" w:space="0" w:color="auto"/>
            <w:bottom w:val="none" w:sz="0" w:space="0" w:color="auto"/>
            <w:right w:val="none" w:sz="0" w:space="0" w:color="auto"/>
          </w:divBdr>
        </w:div>
        <w:div w:id="1946383948">
          <w:marLeft w:val="547"/>
          <w:marRight w:val="0"/>
          <w:marTop w:val="0"/>
          <w:marBottom w:val="240"/>
          <w:divBdr>
            <w:top w:val="none" w:sz="0" w:space="0" w:color="auto"/>
            <w:left w:val="none" w:sz="0" w:space="0" w:color="auto"/>
            <w:bottom w:val="none" w:sz="0" w:space="0" w:color="auto"/>
            <w:right w:val="none" w:sz="0" w:space="0" w:color="auto"/>
          </w:divBdr>
        </w:div>
        <w:div w:id="1037310918">
          <w:marLeft w:val="547"/>
          <w:marRight w:val="0"/>
          <w:marTop w:val="0"/>
          <w:marBottom w:val="240"/>
          <w:divBdr>
            <w:top w:val="none" w:sz="0" w:space="0" w:color="auto"/>
            <w:left w:val="none" w:sz="0" w:space="0" w:color="auto"/>
            <w:bottom w:val="none" w:sz="0" w:space="0" w:color="auto"/>
            <w:right w:val="none" w:sz="0" w:space="0" w:color="auto"/>
          </w:divBdr>
        </w:div>
      </w:divsChild>
    </w:div>
    <w:div w:id="310251591">
      <w:bodyDiv w:val="1"/>
      <w:marLeft w:val="0"/>
      <w:marRight w:val="0"/>
      <w:marTop w:val="0"/>
      <w:marBottom w:val="0"/>
      <w:divBdr>
        <w:top w:val="none" w:sz="0" w:space="0" w:color="auto"/>
        <w:left w:val="none" w:sz="0" w:space="0" w:color="auto"/>
        <w:bottom w:val="none" w:sz="0" w:space="0" w:color="auto"/>
        <w:right w:val="none" w:sz="0" w:space="0" w:color="auto"/>
      </w:divBdr>
      <w:divsChild>
        <w:div w:id="1391803863">
          <w:marLeft w:val="547"/>
          <w:marRight w:val="0"/>
          <w:marTop w:val="0"/>
          <w:marBottom w:val="240"/>
          <w:divBdr>
            <w:top w:val="none" w:sz="0" w:space="0" w:color="auto"/>
            <w:left w:val="none" w:sz="0" w:space="0" w:color="auto"/>
            <w:bottom w:val="none" w:sz="0" w:space="0" w:color="auto"/>
            <w:right w:val="none" w:sz="0" w:space="0" w:color="auto"/>
          </w:divBdr>
        </w:div>
        <w:div w:id="889222002">
          <w:marLeft w:val="547"/>
          <w:marRight w:val="0"/>
          <w:marTop w:val="0"/>
          <w:marBottom w:val="240"/>
          <w:divBdr>
            <w:top w:val="none" w:sz="0" w:space="0" w:color="auto"/>
            <w:left w:val="none" w:sz="0" w:space="0" w:color="auto"/>
            <w:bottom w:val="none" w:sz="0" w:space="0" w:color="auto"/>
            <w:right w:val="none" w:sz="0" w:space="0" w:color="auto"/>
          </w:divBdr>
        </w:div>
        <w:div w:id="336470926">
          <w:marLeft w:val="547"/>
          <w:marRight w:val="0"/>
          <w:marTop w:val="0"/>
          <w:marBottom w:val="240"/>
          <w:divBdr>
            <w:top w:val="none" w:sz="0" w:space="0" w:color="auto"/>
            <w:left w:val="none" w:sz="0" w:space="0" w:color="auto"/>
            <w:bottom w:val="none" w:sz="0" w:space="0" w:color="auto"/>
            <w:right w:val="none" w:sz="0" w:space="0" w:color="auto"/>
          </w:divBdr>
        </w:div>
      </w:divsChild>
    </w:div>
    <w:div w:id="376779923">
      <w:bodyDiv w:val="1"/>
      <w:marLeft w:val="0"/>
      <w:marRight w:val="0"/>
      <w:marTop w:val="0"/>
      <w:marBottom w:val="0"/>
      <w:divBdr>
        <w:top w:val="none" w:sz="0" w:space="0" w:color="auto"/>
        <w:left w:val="none" w:sz="0" w:space="0" w:color="auto"/>
        <w:bottom w:val="none" w:sz="0" w:space="0" w:color="auto"/>
        <w:right w:val="none" w:sz="0" w:space="0" w:color="auto"/>
      </w:divBdr>
    </w:div>
    <w:div w:id="522599431">
      <w:bodyDiv w:val="1"/>
      <w:marLeft w:val="0"/>
      <w:marRight w:val="0"/>
      <w:marTop w:val="0"/>
      <w:marBottom w:val="0"/>
      <w:divBdr>
        <w:top w:val="none" w:sz="0" w:space="0" w:color="auto"/>
        <w:left w:val="none" w:sz="0" w:space="0" w:color="auto"/>
        <w:bottom w:val="none" w:sz="0" w:space="0" w:color="auto"/>
        <w:right w:val="none" w:sz="0" w:space="0" w:color="auto"/>
      </w:divBdr>
      <w:divsChild>
        <w:div w:id="1865441925">
          <w:marLeft w:val="0"/>
          <w:marRight w:val="0"/>
          <w:marTop w:val="0"/>
          <w:marBottom w:val="0"/>
          <w:divBdr>
            <w:top w:val="none" w:sz="0" w:space="0" w:color="auto"/>
            <w:left w:val="none" w:sz="0" w:space="0" w:color="auto"/>
            <w:bottom w:val="none" w:sz="0" w:space="0" w:color="auto"/>
            <w:right w:val="none" w:sz="0" w:space="0" w:color="auto"/>
          </w:divBdr>
        </w:div>
        <w:div w:id="1734543972">
          <w:marLeft w:val="0"/>
          <w:marRight w:val="0"/>
          <w:marTop w:val="0"/>
          <w:marBottom w:val="0"/>
          <w:divBdr>
            <w:top w:val="none" w:sz="0" w:space="0" w:color="auto"/>
            <w:left w:val="none" w:sz="0" w:space="0" w:color="auto"/>
            <w:bottom w:val="none" w:sz="0" w:space="0" w:color="auto"/>
            <w:right w:val="none" w:sz="0" w:space="0" w:color="auto"/>
          </w:divBdr>
          <w:divsChild>
            <w:div w:id="10626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5947">
      <w:bodyDiv w:val="1"/>
      <w:marLeft w:val="0"/>
      <w:marRight w:val="0"/>
      <w:marTop w:val="0"/>
      <w:marBottom w:val="0"/>
      <w:divBdr>
        <w:top w:val="none" w:sz="0" w:space="0" w:color="auto"/>
        <w:left w:val="none" w:sz="0" w:space="0" w:color="auto"/>
        <w:bottom w:val="none" w:sz="0" w:space="0" w:color="auto"/>
        <w:right w:val="none" w:sz="0" w:space="0" w:color="auto"/>
      </w:divBdr>
      <w:divsChild>
        <w:div w:id="383456283">
          <w:marLeft w:val="547"/>
          <w:marRight w:val="0"/>
          <w:marTop w:val="0"/>
          <w:marBottom w:val="240"/>
          <w:divBdr>
            <w:top w:val="none" w:sz="0" w:space="0" w:color="auto"/>
            <w:left w:val="none" w:sz="0" w:space="0" w:color="auto"/>
            <w:bottom w:val="none" w:sz="0" w:space="0" w:color="auto"/>
            <w:right w:val="none" w:sz="0" w:space="0" w:color="auto"/>
          </w:divBdr>
        </w:div>
        <w:div w:id="216673743">
          <w:marLeft w:val="547"/>
          <w:marRight w:val="0"/>
          <w:marTop w:val="0"/>
          <w:marBottom w:val="240"/>
          <w:divBdr>
            <w:top w:val="none" w:sz="0" w:space="0" w:color="auto"/>
            <w:left w:val="none" w:sz="0" w:space="0" w:color="auto"/>
            <w:bottom w:val="none" w:sz="0" w:space="0" w:color="auto"/>
            <w:right w:val="none" w:sz="0" w:space="0" w:color="auto"/>
          </w:divBdr>
        </w:div>
        <w:div w:id="1896428587">
          <w:marLeft w:val="547"/>
          <w:marRight w:val="0"/>
          <w:marTop w:val="0"/>
          <w:marBottom w:val="240"/>
          <w:divBdr>
            <w:top w:val="none" w:sz="0" w:space="0" w:color="auto"/>
            <w:left w:val="none" w:sz="0" w:space="0" w:color="auto"/>
            <w:bottom w:val="none" w:sz="0" w:space="0" w:color="auto"/>
            <w:right w:val="none" w:sz="0" w:space="0" w:color="auto"/>
          </w:divBdr>
        </w:div>
        <w:div w:id="586960585">
          <w:marLeft w:val="547"/>
          <w:marRight w:val="0"/>
          <w:marTop w:val="0"/>
          <w:marBottom w:val="240"/>
          <w:divBdr>
            <w:top w:val="none" w:sz="0" w:space="0" w:color="auto"/>
            <w:left w:val="none" w:sz="0" w:space="0" w:color="auto"/>
            <w:bottom w:val="none" w:sz="0" w:space="0" w:color="auto"/>
            <w:right w:val="none" w:sz="0" w:space="0" w:color="auto"/>
          </w:divBdr>
        </w:div>
        <w:div w:id="2095004116">
          <w:marLeft w:val="547"/>
          <w:marRight w:val="0"/>
          <w:marTop w:val="0"/>
          <w:marBottom w:val="240"/>
          <w:divBdr>
            <w:top w:val="none" w:sz="0" w:space="0" w:color="auto"/>
            <w:left w:val="none" w:sz="0" w:space="0" w:color="auto"/>
            <w:bottom w:val="none" w:sz="0" w:space="0" w:color="auto"/>
            <w:right w:val="none" w:sz="0" w:space="0" w:color="auto"/>
          </w:divBdr>
        </w:div>
      </w:divsChild>
    </w:div>
    <w:div w:id="582106416">
      <w:bodyDiv w:val="1"/>
      <w:marLeft w:val="0"/>
      <w:marRight w:val="0"/>
      <w:marTop w:val="0"/>
      <w:marBottom w:val="0"/>
      <w:divBdr>
        <w:top w:val="none" w:sz="0" w:space="0" w:color="auto"/>
        <w:left w:val="none" w:sz="0" w:space="0" w:color="auto"/>
        <w:bottom w:val="none" w:sz="0" w:space="0" w:color="auto"/>
        <w:right w:val="none" w:sz="0" w:space="0" w:color="auto"/>
      </w:divBdr>
      <w:divsChild>
        <w:div w:id="492181318">
          <w:marLeft w:val="446"/>
          <w:marRight w:val="0"/>
          <w:marTop w:val="0"/>
          <w:marBottom w:val="240"/>
          <w:divBdr>
            <w:top w:val="none" w:sz="0" w:space="0" w:color="auto"/>
            <w:left w:val="none" w:sz="0" w:space="0" w:color="auto"/>
            <w:bottom w:val="none" w:sz="0" w:space="0" w:color="auto"/>
            <w:right w:val="none" w:sz="0" w:space="0" w:color="auto"/>
          </w:divBdr>
        </w:div>
        <w:div w:id="1399674051">
          <w:marLeft w:val="446"/>
          <w:marRight w:val="0"/>
          <w:marTop w:val="0"/>
          <w:marBottom w:val="240"/>
          <w:divBdr>
            <w:top w:val="none" w:sz="0" w:space="0" w:color="auto"/>
            <w:left w:val="none" w:sz="0" w:space="0" w:color="auto"/>
            <w:bottom w:val="none" w:sz="0" w:space="0" w:color="auto"/>
            <w:right w:val="none" w:sz="0" w:space="0" w:color="auto"/>
          </w:divBdr>
        </w:div>
        <w:div w:id="1291983731">
          <w:marLeft w:val="446"/>
          <w:marRight w:val="0"/>
          <w:marTop w:val="0"/>
          <w:marBottom w:val="240"/>
          <w:divBdr>
            <w:top w:val="none" w:sz="0" w:space="0" w:color="auto"/>
            <w:left w:val="none" w:sz="0" w:space="0" w:color="auto"/>
            <w:bottom w:val="none" w:sz="0" w:space="0" w:color="auto"/>
            <w:right w:val="none" w:sz="0" w:space="0" w:color="auto"/>
          </w:divBdr>
        </w:div>
        <w:div w:id="908461494">
          <w:marLeft w:val="446"/>
          <w:marRight w:val="0"/>
          <w:marTop w:val="0"/>
          <w:marBottom w:val="240"/>
          <w:divBdr>
            <w:top w:val="none" w:sz="0" w:space="0" w:color="auto"/>
            <w:left w:val="none" w:sz="0" w:space="0" w:color="auto"/>
            <w:bottom w:val="none" w:sz="0" w:space="0" w:color="auto"/>
            <w:right w:val="none" w:sz="0" w:space="0" w:color="auto"/>
          </w:divBdr>
        </w:div>
      </w:divsChild>
    </w:div>
    <w:div w:id="614757336">
      <w:bodyDiv w:val="1"/>
      <w:marLeft w:val="0"/>
      <w:marRight w:val="0"/>
      <w:marTop w:val="0"/>
      <w:marBottom w:val="0"/>
      <w:divBdr>
        <w:top w:val="none" w:sz="0" w:space="0" w:color="auto"/>
        <w:left w:val="none" w:sz="0" w:space="0" w:color="auto"/>
        <w:bottom w:val="none" w:sz="0" w:space="0" w:color="auto"/>
        <w:right w:val="none" w:sz="0" w:space="0" w:color="auto"/>
      </w:divBdr>
      <w:divsChild>
        <w:div w:id="1714689883">
          <w:marLeft w:val="547"/>
          <w:marRight w:val="0"/>
          <w:marTop w:val="0"/>
          <w:marBottom w:val="240"/>
          <w:divBdr>
            <w:top w:val="none" w:sz="0" w:space="0" w:color="auto"/>
            <w:left w:val="none" w:sz="0" w:space="0" w:color="auto"/>
            <w:bottom w:val="none" w:sz="0" w:space="0" w:color="auto"/>
            <w:right w:val="none" w:sz="0" w:space="0" w:color="auto"/>
          </w:divBdr>
        </w:div>
        <w:div w:id="634260751">
          <w:marLeft w:val="547"/>
          <w:marRight w:val="0"/>
          <w:marTop w:val="0"/>
          <w:marBottom w:val="240"/>
          <w:divBdr>
            <w:top w:val="none" w:sz="0" w:space="0" w:color="auto"/>
            <w:left w:val="none" w:sz="0" w:space="0" w:color="auto"/>
            <w:bottom w:val="none" w:sz="0" w:space="0" w:color="auto"/>
            <w:right w:val="none" w:sz="0" w:space="0" w:color="auto"/>
          </w:divBdr>
        </w:div>
        <w:div w:id="1903635103">
          <w:marLeft w:val="547"/>
          <w:marRight w:val="0"/>
          <w:marTop w:val="0"/>
          <w:marBottom w:val="240"/>
          <w:divBdr>
            <w:top w:val="none" w:sz="0" w:space="0" w:color="auto"/>
            <w:left w:val="none" w:sz="0" w:space="0" w:color="auto"/>
            <w:bottom w:val="none" w:sz="0" w:space="0" w:color="auto"/>
            <w:right w:val="none" w:sz="0" w:space="0" w:color="auto"/>
          </w:divBdr>
        </w:div>
      </w:divsChild>
    </w:div>
    <w:div w:id="671765544">
      <w:bodyDiv w:val="1"/>
      <w:marLeft w:val="0"/>
      <w:marRight w:val="0"/>
      <w:marTop w:val="0"/>
      <w:marBottom w:val="0"/>
      <w:divBdr>
        <w:top w:val="none" w:sz="0" w:space="0" w:color="auto"/>
        <w:left w:val="none" w:sz="0" w:space="0" w:color="auto"/>
        <w:bottom w:val="none" w:sz="0" w:space="0" w:color="auto"/>
        <w:right w:val="none" w:sz="0" w:space="0" w:color="auto"/>
      </w:divBdr>
      <w:divsChild>
        <w:div w:id="1164320838">
          <w:marLeft w:val="547"/>
          <w:marRight w:val="0"/>
          <w:marTop w:val="0"/>
          <w:marBottom w:val="240"/>
          <w:divBdr>
            <w:top w:val="none" w:sz="0" w:space="0" w:color="auto"/>
            <w:left w:val="none" w:sz="0" w:space="0" w:color="auto"/>
            <w:bottom w:val="none" w:sz="0" w:space="0" w:color="auto"/>
            <w:right w:val="none" w:sz="0" w:space="0" w:color="auto"/>
          </w:divBdr>
        </w:div>
        <w:div w:id="1303583577">
          <w:marLeft w:val="547"/>
          <w:marRight w:val="0"/>
          <w:marTop w:val="0"/>
          <w:marBottom w:val="240"/>
          <w:divBdr>
            <w:top w:val="none" w:sz="0" w:space="0" w:color="auto"/>
            <w:left w:val="none" w:sz="0" w:space="0" w:color="auto"/>
            <w:bottom w:val="none" w:sz="0" w:space="0" w:color="auto"/>
            <w:right w:val="none" w:sz="0" w:space="0" w:color="auto"/>
          </w:divBdr>
        </w:div>
      </w:divsChild>
    </w:div>
    <w:div w:id="695034443">
      <w:bodyDiv w:val="1"/>
      <w:marLeft w:val="0"/>
      <w:marRight w:val="0"/>
      <w:marTop w:val="0"/>
      <w:marBottom w:val="0"/>
      <w:divBdr>
        <w:top w:val="none" w:sz="0" w:space="0" w:color="auto"/>
        <w:left w:val="none" w:sz="0" w:space="0" w:color="auto"/>
        <w:bottom w:val="none" w:sz="0" w:space="0" w:color="auto"/>
        <w:right w:val="none" w:sz="0" w:space="0" w:color="auto"/>
      </w:divBdr>
      <w:divsChild>
        <w:div w:id="2022311770">
          <w:marLeft w:val="547"/>
          <w:marRight w:val="0"/>
          <w:marTop w:val="0"/>
          <w:marBottom w:val="240"/>
          <w:divBdr>
            <w:top w:val="none" w:sz="0" w:space="0" w:color="auto"/>
            <w:left w:val="none" w:sz="0" w:space="0" w:color="auto"/>
            <w:bottom w:val="none" w:sz="0" w:space="0" w:color="auto"/>
            <w:right w:val="none" w:sz="0" w:space="0" w:color="auto"/>
          </w:divBdr>
        </w:div>
        <w:div w:id="1428959286">
          <w:marLeft w:val="547"/>
          <w:marRight w:val="0"/>
          <w:marTop w:val="0"/>
          <w:marBottom w:val="240"/>
          <w:divBdr>
            <w:top w:val="none" w:sz="0" w:space="0" w:color="auto"/>
            <w:left w:val="none" w:sz="0" w:space="0" w:color="auto"/>
            <w:bottom w:val="none" w:sz="0" w:space="0" w:color="auto"/>
            <w:right w:val="none" w:sz="0" w:space="0" w:color="auto"/>
          </w:divBdr>
        </w:div>
        <w:div w:id="1231384220">
          <w:marLeft w:val="547"/>
          <w:marRight w:val="0"/>
          <w:marTop w:val="0"/>
          <w:marBottom w:val="240"/>
          <w:divBdr>
            <w:top w:val="none" w:sz="0" w:space="0" w:color="auto"/>
            <w:left w:val="none" w:sz="0" w:space="0" w:color="auto"/>
            <w:bottom w:val="none" w:sz="0" w:space="0" w:color="auto"/>
            <w:right w:val="none" w:sz="0" w:space="0" w:color="auto"/>
          </w:divBdr>
        </w:div>
        <w:div w:id="1207720807">
          <w:marLeft w:val="547"/>
          <w:marRight w:val="0"/>
          <w:marTop w:val="0"/>
          <w:marBottom w:val="240"/>
          <w:divBdr>
            <w:top w:val="none" w:sz="0" w:space="0" w:color="auto"/>
            <w:left w:val="none" w:sz="0" w:space="0" w:color="auto"/>
            <w:bottom w:val="none" w:sz="0" w:space="0" w:color="auto"/>
            <w:right w:val="none" w:sz="0" w:space="0" w:color="auto"/>
          </w:divBdr>
        </w:div>
      </w:divsChild>
    </w:div>
    <w:div w:id="791096688">
      <w:bodyDiv w:val="1"/>
      <w:marLeft w:val="0"/>
      <w:marRight w:val="0"/>
      <w:marTop w:val="0"/>
      <w:marBottom w:val="0"/>
      <w:divBdr>
        <w:top w:val="none" w:sz="0" w:space="0" w:color="auto"/>
        <w:left w:val="none" w:sz="0" w:space="0" w:color="auto"/>
        <w:bottom w:val="none" w:sz="0" w:space="0" w:color="auto"/>
        <w:right w:val="none" w:sz="0" w:space="0" w:color="auto"/>
      </w:divBdr>
      <w:divsChild>
        <w:div w:id="1633975445">
          <w:marLeft w:val="547"/>
          <w:marRight w:val="0"/>
          <w:marTop w:val="0"/>
          <w:marBottom w:val="240"/>
          <w:divBdr>
            <w:top w:val="none" w:sz="0" w:space="0" w:color="auto"/>
            <w:left w:val="none" w:sz="0" w:space="0" w:color="auto"/>
            <w:bottom w:val="none" w:sz="0" w:space="0" w:color="auto"/>
            <w:right w:val="none" w:sz="0" w:space="0" w:color="auto"/>
          </w:divBdr>
        </w:div>
        <w:div w:id="448278617">
          <w:marLeft w:val="547"/>
          <w:marRight w:val="0"/>
          <w:marTop w:val="0"/>
          <w:marBottom w:val="240"/>
          <w:divBdr>
            <w:top w:val="none" w:sz="0" w:space="0" w:color="auto"/>
            <w:left w:val="none" w:sz="0" w:space="0" w:color="auto"/>
            <w:bottom w:val="none" w:sz="0" w:space="0" w:color="auto"/>
            <w:right w:val="none" w:sz="0" w:space="0" w:color="auto"/>
          </w:divBdr>
        </w:div>
        <w:div w:id="448163071">
          <w:marLeft w:val="1714"/>
          <w:marRight w:val="0"/>
          <w:marTop w:val="0"/>
          <w:marBottom w:val="240"/>
          <w:divBdr>
            <w:top w:val="none" w:sz="0" w:space="0" w:color="auto"/>
            <w:left w:val="none" w:sz="0" w:space="0" w:color="auto"/>
            <w:bottom w:val="none" w:sz="0" w:space="0" w:color="auto"/>
            <w:right w:val="none" w:sz="0" w:space="0" w:color="auto"/>
          </w:divBdr>
        </w:div>
        <w:div w:id="1929732797">
          <w:marLeft w:val="1714"/>
          <w:marRight w:val="0"/>
          <w:marTop w:val="0"/>
          <w:marBottom w:val="240"/>
          <w:divBdr>
            <w:top w:val="none" w:sz="0" w:space="0" w:color="auto"/>
            <w:left w:val="none" w:sz="0" w:space="0" w:color="auto"/>
            <w:bottom w:val="none" w:sz="0" w:space="0" w:color="auto"/>
            <w:right w:val="none" w:sz="0" w:space="0" w:color="auto"/>
          </w:divBdr>
        </w:div>
        <w:div w:id="663433047">
          <w:marLeft w:val="1714"/>
          <w:marRight w:val="0"/>
          <w:marTop w:val="0"/>
          <w:marBottom w:val="240"/>
          <w:divBdr>
            <w:top w:val="none" w:sz="0" w:space="0" w:color="auto"/>
            <w:left w:val="none" w:sz="0" w:space="0" w:color="auto"/>
            <w:bottom w:val="none" w:sz="0" w:space="0" w:color="auto"/>
            <w:right w:val="none" w:sz="0" w:space="0" w:color="auto"/>
          </w:divBdr>
        </w:div>
      </w:divsChild>
    </w:div>
    <w:div w:id="1023436032">
      <w:bodyDiv w:val="1"/>
      <w:marLeft w:val="0"/>
      <w:marRight w:val="0"/>
      <w:marTop w:val="0"/>
      <w:marBottom w:val="0"/>
      <w:divBdr>
        <w:top w:val="none" w:sz="0" w:space="0" w:color="auto"/>
        <w:left w:val="none" w:sz="0" w:space="0" w:color="auto"/>
        <w:bottom w:val="none" w:sz="0" w:space="0" w:color="auto"/>
        <w:right w:val="none" w:sz="0" w:space="0" w:color="auto"/>
      </w:divBdr>
    </w:div>
    <w:div w:id="1355691506">
      <w:bodyDiv w:val="1"/>
      <w:marLeft w:val="0"/>
      <w:marRight w:val="0"/>
      <w:marTop w:val="0"/>
      <w:marBottom w:val="0"/>
      <w:divBdr>
        <w:top w:val="none" w:sz="0" w:space="0" w:color="auto"/>
        <w:left w:val="none" w:sz="0" w:space="0" w:color="auto"/>
        <w:bottom w:val="none" w:sz="0" w:space="0" w:color="auto"/>
        <w:right w:val="none" w:sz="0" w:space="0" w:color="auto"/>
      </w:divBdr>
    </w:div>
    <w:div w:id="1406419621">
      <w:bodyDiv w:val="1"/>
      <w:marLeft w:val="0"/>
      <w:marRight w:val="0"/>
      <w:marTop w:val="0"/>
      <w:marBottom w:val="0"/>
      <w:divBdr>
        <w:top w:val="none" w:sz="0" w:space="0" w:color="auto"/>
        <w:left w:val="none" w:sz="0" w:space="0" w:color="auto"/>
        <w:bottom w:val="none" w:sz="0" w:space="0" w:color="auto"/>
        <w:right w:val="none" w:sz="0" w:space="0" w:color="auto"/>
      </w:divBdr>
      <w:divsChild>
        <w:div w:id="1878463925">
          <w:marLeft w:val="547"/>
          <w:marRight w:val="0"/>
          <w:marTop w:val="0"/>
          <w:marBottom w:val="240"/>
          <w:divBdr>
            <w:top w:val="none" w:sz="0" w:space="0" w:color="auto"/>
            <w:left w:val="none" w:sz="0" w:space="0" w:color="auto"/>
            <w:bottom w:val="none" w:sz="0" w:space="0" w:color="auto"/>
            <w:right w:val="none" w:sz="0" w:space="0" w:color="auto"/>
          </w:divBdr>
        </w:div>
        <w:div w:id="666327694">
          <w:marLeft w:val="547"/>
          <w:marRight w:val="0"/>
          <w:marTop w:val="0"/>
          <w:marBottom w:val="240"/>
          <w:divBdr>
            <w:top w:val="none" w:sz="0" w:space="0" w:color="auto"/>
            <w:left w:val="none" w:sz="0" w:space="0" w:color="auto"/>
            <w:bottom w:val="none" w:sz="0" w:space="0" w:color="auto"/>
            <w:right w:val="none" w:sz="0" w:space="0" w:color="auto"/>
          </w:divBdr>
        </w:div>
        <w:div w:id="122384532">
          <w:marLeft w:val="547"/>
          <w:marRight w:val="0"/>
          <w:marTop w:val="0"/>
          <w:marBottom w:val="240"/>
          <w:divBdr>
            <w:top w:val="none" w:sz="0" w:space="0" w:color="auto"/>
            <w:left w:val="none" w:sz="0" w:space="0" w:color="auto"/>
            <w:bottom w:val="none" w:sz="0" w:space="0" w:color="auto"/>
            <w:right w:val="none" w:sz="0" w:space="0" w:color="auto"/>
          </w:divBdr>
        </w:div>
        <w:div w:id="1018386704">
          <w:marLeft w:val="1800"/>
          <w:marRight w:val="0"/>
          <w:marTop w:val="0"/>
          <w:marBottom w:val="240"/>
          <w:divBdr>
            <w:top w:val="none" w:sz="0" w:space="0" w:color="auto"/>
            <w:left w:val="none" w:sz="0" w:space="0" w:color="auto"/>
            <w:bottom w:val="none" w:sz="0" w:space="0" w:color="auto"/>
            <w:right w:val="none" w:sz="0" w:space="0" w:color="auto"/>
          </w:divBdr>
        </w:div>
        <w:div w:id="761144588">
          <w:marLeft w:val="1800"/>
          <w:marRight w:val="0"/>
          <w:marTop w:val="0"/>
          <w:marBottom w:val="240"/>
          <w:divBdr>
            <w:top w:val="none" w:sz="0" w:space="0" w:color="auto"/>
            <w:left w:val="none" w:sz="0" w:space="0" w:color="auto"/>
            <w:bottom w:val="none" w:sz="0" w:space="0" w:color="auto"/>
            <w:right w:val="none" w:sz="0" w:space="0" w:color="auto"/>
          </w:divBdr>
        </w:div>
      </w:divsChild>
    </w:div>
    <w:div w:id="1607694168">
      <w:bodyDiv w:val="1"/>
      <w:marLeft w:val="0"/>
      <w:marRight w:val="0"/>
      <w:marTop w:val="0"/>
      <w:marBottom w:val="0"/>
      <w:divBdr>
        <w:top w:val="none" w:sz="0" w:space="0" w:color="auto"/>
        <w:left w:val="none" w:sz="0" w:space="0" w:color="auto"/>
        <w:bottom w:val="none" w:sz="0" w:space="0" w:color="auto"/>
        <w:right w:val="none" w:sz="0" w:space="0" w:color="auto"/>
      </w:divBdr>
      <w:divsChild>
        <w:div w:id="2111318144">
          <w:marLeft w:val="547"/>
          <w:marRight w:val="0"/>
          <w:marTop w:val="0"/>
          <w:marBottom w:val="240"/>
          <w:divBdr>
            <w:top w:val="none" w:sz="0" w:space="0" w:color="auto"/>
            <w:left w:val="none" w:sz="0" w:space="0" w:color="auto"/>
            <w:bottom w:val="none" w:sz="0" w:space="0" w:color="auto"/>
            <w:right w:val="none" w:sz="0" w:space="0" w:color="auto"/>
          </w:divBdr>
        </w:div>
        <w:div w:id="1210730427">
          <w:marLeft w:val="547"/>
          <w:marRight w:val="0"/>
          <w:marTop w:val="0"/>
          <w:marBottom w:val="240"/>
          <w:divBdr>
            <w:top w:val="none" w:sz="0" w:space="0" w:color="auto"/>
            <w:left w:val="none" w:sz="0" w:space="0" w:color="auto"/>
            <w:bottom w:val="none" w:sz="0" w:space="0" w:color="auto"/>
            <w:right w:val="none" w:sz="0" w:space="0" w:color="auto"/>
          </w:divBdr>
        </w:div>
      </w:divsChild>
    </w:div>
    <w:div w:id="1783108448">
      <w:bodyDiv w:val="1"/>
      <w:marLeft w:val="0"/>
      <w:marRight w:val="0"/>
      <w:marTop w:val="0"/>
      <w:marBottom w:val="0"/>
      <w:divBdr>
        <w:top w:val="none" w:sz="0" w:space="0" w:color="auto"/>
        <w:left w:val="none" w:sz="0" w:space="0" w:color="auto"/>
        <w:bottom w:val="none" w:sz="0" w:space="0" w:color="auto"/>
        <w:right w:val="none" w:sz="0" w:space="0" w:color="auto"/>
      </w:divBdr>
      <w:divsChild>
        <w:div w:id="939263496">
          <w:marLeft w:val="547"/>
          <w:marRight w:val="0"/>
          <w:marTop w:val="0"/>
          <w:marBottom w:val="240"/>
          <w:divBdr>
            <w:top w:val="none" w:sz="0" w:space="0" w:color="auto"/>
            <w:left w:val="none" w:sz="0" w:space="0" w:color="auto"/>
            <w:bottom w:val="none" w:sz="0" w:space="0" w:color="auto"/>
            <w:right w:val="none" w:sz="0" w:space="0" w:color="auto"/>
          </w:divBdr>
        </w:div>
        <w:div w:id="892039469">
          <w:marLeft w:val="547"/>
          <w:marRight w:val="0"/>
          <w:marTop w:val="0"/>
          <w:marBottom w:val="240"/>
          <w:divBdr>
            <w:top w:val="none" w:sz="0" w:space="0" w:color="auto"/>
            <w:left w:val="none" w:sz="0" w:space="0" w:color="auto"/>
            <w:bottom w:val="none" w:sz="0" w:space="0" w:color="auto"/>
            <w:right w:val="none" w:sz="0" w:space="0" w:color="auto"/>
          </w:divBdr>
        </w:div>
        <w:div w:id="1080177581">
          <w:marLeft w:val="547"/>
          <w:marRight w:val="0"/>
          <w:marTop w:val="0"/>
          <w:marBottom w:val="240"/>
          <w:divBdr>
            <w:top w:val="none" w:sz="0" w:space="0" w:color="auto"/>
            <w:left w:val="none" w:sz="0" w:space="0" w:color="auto"/>
            <w:bottom w:val="none" w:sz="0" w:space="0" w:color="auto"/>
            <w:right w:val="none" w:sz="0" w:space="0" w:color="auto"/>
          </w:divBdr>
        </w:div>
        <w:div w:id="948389519">
          <w:marLeft w:val="547"/>
          <w:marRight w:val="0"/>
          <w:marTop w:val="0"/>
          <w:marBottom w:val="240"/>
          <w:divBdr>
            <w:top w:val="none" w:sz="0" w:space="0" w:color="auto"/>
            <w:left w:val="none" w:sz="0" w:space="0" w:color="auto"/>
            <w:bottom w:val="none" w:sz="0" w:space="0" w:color="auto"/>
            <w:right w:val="none" w:sz="0" w:space="0" w:color="auto"/>
          </w:divBdr>
        </w:div>
      </w:divsChild>
    </w:div>
    <w:div w:id="2081978179">
      <w:bodyDiv w:val="1"/>
      <w:marLeft w:val="0"/>
      <w:marRight w:val="0"/>
      <w:marTop w:val="0"/>
      <w:marBottom w:val="0"/>
      <w:divBdr>
        <w:top w:val="none" w:sz="0" w:space="0" w:color="auto"/>
        <w:left w:val="none" w:sz="0" w:space="0" w:color="auto"/>
        <w:bottom w:val="none" w:sz="0" w:space="0" w:color="auto"/>
        <w:right w:val="none" w:sz="0" w:space="0" w:color="auto"/>
      </w:divBdr>
      <w:divsChild>
        <w:div w:id="1500848920">
          <w:marLeft w:val="547"/>
          <w:marRight w:val="0"/>
          <w:marTop w:val="0"/>
          <w:marBottom w:val="240"/>
          <w:divBdr>
            <w:top w:val="none" w:sz="0" w:space="0" w:color="auto"/>
            <w:left w:val="none" w:sz="0" w:space="0" w:color="auto"/>
            <w:bottom w:val="none" w:sz="0" w:space="0" w:color="auto"/>
            <w:right w:val="none" w:sz="0" w:space="0" w:color="auto"/>
          </w:divBdr>
        </w:div>
        <w:div w:id="572857372">
          <w:marLeft w:val="547"/>
          <w:marRight w:val="0"/>
          <w:marTop w:val="0"/>
          <w:marBottom w:val="240"/>
          <w:divBdr>
            <w:top w:val="none" w:sz="0" w:space="0" w:color="auto"/>
            <w:left w:val="none" w:sz="0" w:space="0" w:color="auto"/>
            <w:bottom w:val="none" w:sz="0" w:space="0" w:color="auto"/>
            <w:right w:val="none" w:sz="0" w:space="0" w:color="auto"/>
          </w:divBdr>
        </w:div>
      </w:divsChild>
    </w:div>
    <w:div w:id="2102870716">
      <w:bodyDiv w:val="1"/>
      <w:marLeft w:val="0"/>
      <w:marRight w:val="0"/>
      <w:marTop w:val="0"/>
      <w:marBottom w:val="0"/>
      <w:divBdr>
        <w:top w:val="none" w:sz="0" w:space="0" w:color="auto"/>
        <w:left w:val="none" w:sz="0" w:space="0" w:color="auto"/>
        <w:bottom w:val="none" w:sz="0" w:space="0" w:color="auto"/>
        <w:right w:val="none" w:sz="0" w:space="0" w:color="auto"/>
      </w:divBdr>
      <w:divsChild>
        <w:div w:id="501120212">
          <w:marLeft w:val="547"/>
          <w:marRight w:val="0"/>
          <w:marTop w:val="0"/>
          <w:marBottom w:val="240"/>
          <w:divBdr>
            <w:top w:val="none" w:sz="0" w:space="0" w:color="auto"/>
            <w:left w:val="none" w:sz="0" w:space="0" w:color="auto"/>
            <w:bottom w:val="none" w:sz="0" w:space="0" w:color="auto"/>
            <w:right w:val="none" w:sz="0" w:space="0" w:color="auto"/>
          </w:divBdr>
        </w:div>
        <w:div w:id="927888232">
          <w:marLeft w:val="547"/>
          <w:marRight w:val="0"/>
          <w:marTop w:val="0"/>
          <w:marBottom w:val="240"/>
          <w:divBdr>
            <w:top w:val="none" w:sz="0" w:space="0" w:color="auto"/>
            <w:left w:val="none" w:sz="0" w:space="0" w:color="auto"/>
            <w:bottom w:val="none" w:sz="0" w:space="0" w:color="auto"/>
            <w:right w:val="none" w:sz="0" w:space="0" w:color="auto"/>
          </w:divBdr>
        </w:div>
        <w:div w:id="241913414">
          <w:marLeft w:val="547"/>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C8E9E-34E9-4207-BA03-FB57EE139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50</Pages>
  <Words>22890</Words>
  <Characters>130479</Characters>
  <Application>Microsoft Office Word</Application>
  <DocSecurity>0</DocSecurity>
  <Lines>1087</Lines>
  <Paragraphs>306</Paragraphs>
  <ScaleCrop>false</ScaleCrop>
  <HeadingPairs>
    <vt:vector size="2" baseType="variant">
      <vt:variant>
        <vt:lpstr>Titolo</vt:lpstr>
      </vt:variant>
      <vt:variant>
        <vt:i4>1</vt:i4>
      </vt:variant>
    </vt:vector>
  </HeadingPairs>
  <TitlesOfParts>
    <vt:vector size="1" baseType="lpstr">
      <vt:lpstr>CARTA INTESTATA LEGA AMBIENTE</vt:lpstr>
    </vt:vector>
  </TitlesOfParts>
  <Company/>
  <LinksUpToDate>false</LinksUpToDate>
  <CharactersWithSpaces>153063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LEGA AMBIENTE</dc:title>
  <dc:creator>sale</dc:creator>
  <cp:lastModifiedBy>Sara Tessitore</cp:lastModifiedBy>
  <cp:revision>168</cp:revision>
  <dcterms:created xsi:type="dcterms:W3CDTF">2021-06-21T20:55:00Z</dcterms:created>
  <dcterms:modified xsi:type="dcterms:W3CDTF">2021-07-05T14:15:00Z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Word</vt:lpwstr>
  </property>
  <property fmtid="{D5CDD505-2E9C-101B-9397-08002B2CF9AE}" pid="4" name="LastSaved">
    <vt:filetime>2020-10-30T00:00:00Z</vt:filetime>
  </property>
</Properties>
</file>